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FuttMV 1981 — Zulassungs- und Registrierungs-Kennnummer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erteilt dem Betrieb</w:t>
      </w:r>
    </w:p>
    <w:p>
      <w:pPr>
        <w:ind w:left="420"/>
      </w:pPr>
      <w:r>
        <w:t xml:space="preserve">1. mit der Zulassung nach § 18 eine Zulassungs-Kennnummer und</w:t>
      </w:r>
    </w:p>
    <w:p>
      <w:pPr>
        <w:ind w:left="420"/>
      </w:pPr>
      <w:r>
        <w:t xml:space="preserve">2. mit der Registrierung nach § 21 eine Registrierungs-Kennnummer.</w:t>
      </w:r>
    </w:p>
    <w:p>
      <w:r>
        <w:rPr>
          <w:color w:val="555555"/>
          <w:sz w:val="17"/>
        </w:rPr>
        <w:t xml:space="preserve">Zitiervorschlag: § 23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