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FuttMV 1981 — Anzeigebedürftige Betriebe</w:t>
      </w:r>
    </w:p>
    <w:p>
      <w:r>
        <w:rPr>
          <w:color w:val="555555"/>
          <w:sz w:val="18"/>
        </w:rPr>
        <w:t xml:space="preserve">Futtermittelverordnung</w:t>
      </w:r>
    </w:p>
    <w:p>
      <w:r>
        <w:rPr>
          <w:color w:val="555555"/>
          <w:sz w:val="18"/>
        </w:rPr>
        <w:t xml:space="preserve">Stand: 01.01.2026 (konsolidierte Textfassung, kein amtliches Inkrafttretensdatum)</w:t>
      </w:r>
    </w:p>
    <w:p>
      <w:r>
        <w:t xml:space="preserve">(1) Wer gewerbsmäßig Futtermittel für Heimtiere in den Verkehr bringen will, hat dies vor Beginn des Betriebes der nach Landesrecht zuständigen Behörde anzuzeigen.</w:t>
      </w:r>
    </w:p>
    <w:p>
      <w:r>
        <w:t xml:space="preserve">(2) Absatz 1 gilt nicht für die Abgabe von Futtermitteln für Heimtiere in verkaufsfertig bezogenen Fertigpackungen.</w:t>
      </w:r>
    </w:p>
    <w:p>
      <w:r>
        <w:t xml:space="preserve">(3) Wer gewerbsmäßig ortsfeste oder bewegliche Anlagen zur Herstellung von Futtermitteln anderen überlassen will, hat dies vor Beginn des Betriebes der nach Landesrecht zuständigen Behörde anzuzeigen. Bei beweglichen Anlagen ist auch die Behörde zu benachrichtigen, in deren Bereich die Anlage eingesetzt wird.</w:t>
      </w:r>
    </w:p>
    <w:p>
      <w:r>
        <w:t xml:space="preserve">(4) Die Absätze 1 und 3 gelten nur, soweit ein dort bezeichneter Betrieb keiner Zulassungs- oder Registrierungspflicht nach der Verordnung (EG) Nr. 183/2005 in der Fassung vom 20. Juni 2019 unterliegt. Absatz 1 gilt nicht für Futtermittelunternehmer im Sinne von Artikel 13 Absatz 1 der Verordnung (EU) 2019/4 in der Fassung vom 11. Dezember 2018.</w:t>
      </w:r>
    </w:p>
    <w:p>
      <w:r>
        <w:rPr>
          <w:color w:val="555555"/>
          <w:sz w:val="17"/>
        </w:rPr>
        <w:t xml:space="preserve">Zitiervorschlag: § 22 FuttMV 1981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https://recht.nulegal.eu/gesetze/FuttMV%201981/22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