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FuttMV 1981 — Registrierungsbedürftige Betriebe</w:t>
      </w:r>
    </w:p>
    <w:p>
      <w:r>
        <w:rPr>
          <w:color w:val="555555"/>
          <w:sz w:val="18"/>
        </w:rPr>
        <w:t xml:space="preserve">Futtermittelverordnung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Sofern</w:t>
      </w:r>
    </w:p>
    <w:p>
      <w:pPr>
        <w:ind w:left="420"/>
      </w:pPr>
      <w:r>
        <w:t xml:space="preserve">1. Futtermittelzusatzstoffe, für die nach dem Anhang der jeweiligen EG-Zulassungsverordnung oder EU-Zulassungsverordnung in der Spalte „Höchstgehalt“ oder Anlage 3 Spalte 6 der Futtermittelverordnung in der bis zum 23. März 2007 geltenden Fassung, sofern diese Futtermittelzusatzstoffe nicht durch eine EG-Zulassungsverordnung oder EU-Zulassungsverordnung zugelassen sind, ein Höchstgehalt festgesetzt worden ist, ausgenommen Futtermittelzusatzstoffe nach § 17 Absatz 4 Satz 1 Nummer 1,</w:t>
      </w:r>
    </w:p>
    <w:p>
      <w:pPr>
        <w:ind w:left="420"/>
      </w:pPr>
      <w:r>
        <w:t xml:space="preserve">2. Vormischungen mit Antioxidantien, für die nach dem Anhang der jeweiligen EG-Zulassungsverordnung oder EU-Zulassungsverordnung in der Spalte „Höchstgehalt“ oder nach Anlage 3 Spalte 6 der Futtermittelverordnung in der bis zum 23. März 2007 geltenden Fassung, sofern diese Futtermittelzusatzstoffe nicht durch eine EG-Zulassungsverordnung oder EU-Zulassungsverordnung zugelassen sind, ein Höchstgehalt festgesetzt worden ist, mit Vitaminen, ausgenommen Vitamin A und D, Carotinoiden oder Xanthophyllen, Enzymen, Mikroorganismen oder Verbindungen von Spurenelementen, ausgenommen Kupfer und Selen,</w:t>
      </w:r>
    </w:p>
    <w:p>
      <w:pPr>
        <w:ind w:left="420"/>
      </w:pPr>
      <w:r>
        <w:t xml:space="preserve">3. Mischfuttermittel unter Verwendung von Vormischungen nach Nummer 2 oder Vormischungen mit Vitamin A, Vitamin D, Kupfer oder Selen,</w:t>
      </w:r>
    </w:p>
    <w:p>
      <w:pPr>
        <w:ind w:left="420"/>
      </w:pPr>
      <w:r>
        <w:t xml:space="preserve">4. Mischfuttermittel unter unmittelbarer Zugabe von Antioxidantien, für die nach dem Anhang der jeweiligen EG-Zulassungsverordnung oder EU-Zulassungsverordnung in der Spalte „Höchstgehalt“ oder nach Anlage 3 Spalte 6 der Futtermittelverordnung in der bis zum 23. März 2007 geltenden Fassung, sofern diese Futtermittelzusatzstoffe nicht durch eine EG-Zulassungsverordnung oder EU-Zulassungsverordnung zugelassen sind, ein Höchstgehalt festgesetzt worden ist, Vitaminen, ausgenommen Vitamin A und D, Carotinoiden oder Xanthophyllen, Enzymen, Mikroorganismen oder Verbindungen von Spurenelementen, ausgenommen Kupfer und Selen, oder</w:t>
      </w:r>
    </w:p>
    <w:p>
      <w:pPr>
        <w:ind w:left="420"/>
      </w:pPr>
      <w:r>
        <w:t xml:space="preserve">5. Mischfuttermittel für Heimtiere unter unmittelbarer Zugabe von Vitamin A, Vitamin D, Kupfer oder Selen</w:t>
      </w:r>
    </w:p>
    <w:p>
      <w:r>
        <w:t xml:space="preserve">in einem Drittland hergestellt worden sind, dürfen diese nur von in Satz 2 genannten Betrieben eingeführt werden. Betriebe im Sinne des Satzes 1 sind Betriebe, die</w:t>
      </w:r>
    </w:p>
    <w:p>
      <w:pPr>
        <w:ind w:left="420"/>
      </w:pPr>
      <w:r>
        <w:t xml:space="preserve">1. als Vertreter des Herstellers von der zuständigen Behörde registriert worden sind oder,</w:t>
      </w:r>
    </w:p>
    <w:p>
      <w:pPr>
        <w:ind w:left="420"/>
      </w:pPr>
      <w:r>
        <w:t xml:space="preserve">2. falls sie ihren Sitz in einem Vertragsstaat haben nach Feststellung dieses Vertragsstaates als Vertreter des Herstellers die Voraussetzungen im Sinne des Kapitels II des Anhangs der Richtlinie 95/69/EG erfüllen.</w:t>
      </w:r>
    </w:p>
    <w:p>
      <w:r>
        <w:rPr>
          <w:color w:val="555555"/>
          <w:sz w:val="17"/>
        </w:rPr>
        <w:t xml:space="preserve">Zitiervorschlag: § 20 FuttMV 1981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https://recht.nulegal.eu/gesetze/FuttMV%201981/20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