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FuttMV 1981 — Zulassungsbedürftige Betriebe</w:t>
      </w:r>
    </w:p>
    <w:p>
      <w:r>
        <w:rPr>
          <w:color w:val="555555"/>
          <w:sz w:val="18"/>
        </w:rPr>
        <w:t xml:space="preserve">Futtermittelverordnung</w:t>
      </w:r>
    </w:p>
    <w:p>
      <w:r>
        <w:rPr>
          <w:color w:val="555555"/>
          <w:sz w:val="18"/>
        </w:rPr>
        <w:t xml:space="preserve">Stand: 01.01.2026 (konsolidierte Textfassung, kein amtliches Inkrafttretensdatum)</w:t>
      </w:r>
    </w:p>
    <w:p>
      <w:r>
        <w:t xml:space="preserve">(1) (weggefallen)</w:t>
      </w:r>
    </w:p>
    <w:p>
      <w:r>
        <w:t xml:space="preserve">(2) Betriebe, die Grünfutter, Lebensmittel oder Lebensmittelreste zum Zwecke der Herstellung eines Einzelfuttermittels oder Mischfuttermittels unter direkter Einwirkung der Verbrennungsgase trocknen, müssen von der zuständigen Behörde zugelassen worden sein.</w:t>
      </w:r>
    </w:p>
    <w:p>
      <w:r>
        <w:t xml:space="preserve">(3) Betriebe, die aus Fetten pflanzlichen oder tierischen Ursprungs, Ölen pflanzlichen oder tierischen Ursprungs oder Fettsäuren pflanzlichen oder tierischen Ursprungs hergestellte Fette, Öle, Fettsäuren, mit Glycerin veresterte Fettsäuren, Mono- und Diglyceride von Fettsäuren oder Salze von Fettsäuren, die sie jeweils nicht selbst hergestellt haben, als Einzelfuttermittel lose in den Verkehr bringen, müssen von der zuständigen Behörde zugelassen worden sein. Satz 1 gilt nicht</w:t>
      </w:r>
    </w:p>
    <w:p>
      <w:pPr>
        <w:ind w:left="420"/>
      </w:pPr>
      <w:r>
        <w:t xml:space="preserve">1. für Betriebe, die aus rohen Fetten pflanzlichen Ursprungs oder aus rohen Ölen pflanzlichen Ursprungs hergestellte raffinierte Öle in den Verkehr bringen,</w:t>
      </w:r>
    </w:p>
    <w:p>
      <w:pPr>
        <w:ind w:left="420"/>
      </w:pPr>
      <w:r>
        <w:t xml:space="preserve">2. für dort bezeichnete Betriebe, die nach Artikel 10 Nummer 3 Satz 1 in Verbindung mit Anhang II Abschnitt Einrichtungen und Ausrüstungen Nummer 10 der Verordnung (EG) Nr. 183/2005 in der Fassung vom 20. Juni 2019 der Zulassung bedürfen.</w:t>
      </w:r>
    </w:p>
    <w:p>
      <w:r>
        <w:t xml:space="preserve">(4) Sofern</w:t>
      </w:r>
    </w:p>
    <w:p>
      <w:pPr>
        <w:ind w:left="420"/>
      </w:pPr>
      <w:r>
        <w:t xml:space="preserve">1. Antioxidantien, für die nach dem Anhang der jeweiligen EG-Zulassungsverordnung oder EU-Zulassungsverordnung in der Spalte „Höchstgehalt“ oder nach Anlage 3 Spalte 6 der Futtermittelverordnung in der bis zum 23. März 2007 geltenden Fassung, sofern diese Futtermittelzusatzstoffe nicht durch eine EG-Zulassungsverordnung zugelassen sind, ein Höchstgehalt festgesetzt worden ist, Carotinoide und Xanthophylle, Enzyme, Mikroorganismen, Kokzidiostatika oder Histomonostatika, Verbindungen von Spurenelementen oder Vitamine,</w:t>
      </w:r>
    </w:p>
    <w:p>
      <w:pPr>
        <w:ind w:left="420"/>
      </w:pPr>
      <w:r>
        <w:t xml:space="preserve">2. Vormischungen mit Futtermittelzusatzstoffen der Kategorie „Kokzidiostatika und Histomonostatika“, Vitamin A, Vitamin D oder Kupfer- oder Selenverbindungen oder</w:t>
      </w:r>
    </w:p>
    <w:p>
      <w:pPr>
        <w:ind w:left="420"/>
      </w:pPr>
      <w:r>
        <w:t xml:space="preserve">3. Mischfuttermittel unter Verwendung von Vormischungen mit Futtermittelzusatzstoffen der Kategorie „Kokzidiostatika und Histomonostatika“</w:t>
      </w:r>
    </w:p>
    <w:p>
      <w:r>
        <w:t xml:space="preserve">in einem Drittland hergestellt worden sind, dürfen sie nur von in Satz 2 genannten Betrieben eingeführt werden. Betriebe im Sinne des Satzes 1 sind Betriebe, die</w:t>
      </w:r>
    </w:p>
    <w:p>
      <w:pPr>
        <w:ind w:left="420"/>
      </w:pPr>
      <w:r>
        <w:t xml:space="preserve">1. als Vertreter des Herstellers durch die zuständige Behörde zugelassen worden sind oder,</w:t>
      </w:r>
    </w:p>
    <w:p>
      <w:pPr>
        <w:ind w:left="420"/>
      </w:pPr>
      <w:r>
        <w:t xml:space="preserve">2. soweit sie ihren Sitz in einem Vertragsstaat haben nach Feststellung dieses Vertragsstaates als Vertreter des Herstellers die Voraussetzungen im Sinne des Kapitels I des Anhangs der Richtlinie 95/69/EG in der Fassung vom 14. April 2003 erfüllen.</w:t>
      </w:r>
    </w:p>
    <w:p>
      <w:r>
        <w:t xml:space="preserve">(5) Die Zulassung von Betrieben nach der Verordnung (EG) Nr. 183/2005 bleibt unberührt.</w:t>
      </w:r>
    </w:p>
    <w:p>
      <w:r>
        <w:rPr>
          <w:color w:val="555555"/>
          <w:sz w:val="17"/>
        </w:rPr>
        <w:t xml:space="preserve">Zitiervorschlag: § 17 FuttMV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https://recht.nulegal.eu/gesetze/FuttMV%201981/17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FuttMV 1981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