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FuttMV 1981 — Mitwirkung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Bundesamt wirkt mit bei</w:t>
      </w:r>
    </w:p>
    <w:p>
      <w:pPr>
        <w:ind w:left="420"/>
      </w:pPr>
      <w:r>
        <w:t xml:space="preserve">1. der Aufnahme eines Einzelfuttermittels in den Anhang der Verordnung (EU) Nr. 68/2013,</w:t>
      </w:r>
    </w:p>
    <w:p>
      <w:pPr>
        <w:ind w:left="420"/>
      </w:pPr>
      <w:r>
        <w:t xml:space="preserve">2. der Prüfung von Leitlinien für eine gute Verfahrenspraxis im Futtermittelsektor nach Artikel 20 und 22 der Verordnung (EG) Nr. 183/2005 in der Fassung vom 20. Juni 2019.</w:t>
      </w:r>
    </w:p>
    <w:p>
      <w:r>
        <w:t xml:space="preserve">(2) Das Bundesamt wirkt ferner mit bei der Koordinierung der Erstellung</w:t>
      </w:r>
    </w:p>
    <w:p>
      <w:pPr>
        <w:ind w:left="420"/>
      </w:pPr>
      <w:r>
        <w:t xml:space="preserve">1. von Kontrollplänen nach der Verordnung (EU) 2017/625 in der Fassung vom 27. November 2024,</w:t>
      </w:r>
    </w:p>
    <w:p>
      <w:pPr>
        <w:ind w:left="420"/>
      </w:pPr>
      <w:r>
        <w:t xml:space="preserve">2. sonstiger nach den gemeinschaftsrechtlichen oder den unionsrechtlichen Vorschriften von den Mitgliedstaaten durchzuführender Untersuchungs- und Erhebungsprogramme des Futtermittelsektors.</w:t>
      </w:r>
    </w:p>
    <w:p>
      <w:r>
        <w:rPr>
          <w:color w:val="555555"/>
          <w:sz w:val="17"/>
        </w:rPr>
        <w:t xml:space="preserve">Zitiervorschlag: § 16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FuttMV 1981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