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FuttMV 1981 — Fütterungsvorschriften</w:t>
      </w:r>
    </w:p>
    <w:p>
      <w:r>
        <w:rPr>
          <w:color w:val="555555"/>
          <w:sz w:val="18"/>
        </w:rPr>
        <w:t xml:space="preserve">Futtermittelverordnung</w:t>
      </w:r>
    </w:p>
    <w:p>
      <w:r>
        <w:rPr>
          <w:color w:val="555555"/>
          <w:sz w:val="18"/>
        </w:rPr>
        <w:t xml:space="preserve">Stand: 01.01.2026 (konsolidierte Textfassung, kein amtliches Inkrafttretensdatum)</w:t>
      </w:r>
    </w:p>
    <w:p>
      <w:r>
        <w:t xml:space="preserve">Einzelfuttermittel oder Mischfuttermittel, für die in Anhang I der Richtlinie 2002/32/EG in der Fassung vom 7. November 2019 höhere Gehalte an unerwünschten Stoffen als für entsprechende Alleinfuttermittel festgesetzt sind, dürfen nur zusammen mit anderen Einzelfuttermitteln oder Mischfuttermitteln verfüttert werden; dabei dürfen in der Tagesration für entsprechende Alleinfuttermittel für die jeweilige Tierart oder Tierkategorie festgesetzte Höchstgehalte in der Tagesration nicht überschritten werden. Entsprechendes gilt für Einzelfuttermittel und Ergänzungsfuttermittel, für die in Anhang I der Richtlinie 2002/32/EG in der Fassung vom 7. November 2019 keine Höchstgehalte festgesetzt sind.</w:t>
      </w:r>
    </w:p>
    <w:p>
      <w:r>
        <w:rPr>
          <w:color w:val="555555"/>
          <w:sz w:val="17"/>
        </w:rPr>
        <w:t xml:space="preserve">Zitiervorschlag: § 14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