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12 FuttMV 1981 — Inverkehrbringensverbote</w:t>
      </w:r>
    </w:p>
    <w:p>
      <w:r>
        <w:rPr>
          <w:color w:val="555555"/>
          <w:sz w:val="18"/>
        </w:rPr>
        <w:t xml:space="preserve">Futtermittelverordnung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Es ist verboten,</w:t>
      </w:r>
    </w:p>
    <w:p>
      <w:pPr>
        <w:ind w:left="420"/>
      </w:pPr>
      <w:r>
        <w:t xml:space="preserve">1. ein Futtermittel, das den Anforderungen nach Artikel 4 Absatz 3 in Verbindung mit Anhang I, Anhang I Nummer 1 auch in Verbindung mit Artikel 32 Absatz 3, der Verordnung (EG) Nr. 767/2009 in der Fassung vom 5. Dezember 2018 nicht entspricht, in den Verkehr zu bringen,</w:t>
      </w:r>
    </w:p>
    <w:p>
      <w:pPr>
        <w:ind w:left="420"/>
      </w:pPr>
      <w:r>
        <w:t xml:space="preserve">2. ein Einzelfuttermittel oder ein Ergänzungsfuttermittel, das den Anforderungen nach Artikel 8 in Verbindung mit Artikel 32 Absatz 2 der Verordnung (EG) Nr. 767/2009 in der Fassung vom 5. Dezember 2018 nicht entspricht, in den Verkehr zu bringen.</w:t>
      </w:r>
    </w:p>
    <w:p>
      <w:r>
        <w:rPr>
          <w:color w:val="555555"/>
          <w:sz w:val="17"/>
        </w:rPr>
        <w:t xml:space="preserve">Zitiervorschlag: § 12 FuttMV 1981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https://recht.nulegal.eu/gesetze/FuttMV%201981/12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12 FuttMV 1981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