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FuttMV 1981 — Verbotene Stoffe</w:t>
      </w:r>
    </w:p>
    <w:p>
      <w:r>
        <w:rPr>
          <w:color w:val="555555"/>
          <w:sz w:val="18"/>
        </w:rPr>
        <w:t xml:space="preserve">Futtermittelverordnung</w:t>
      </w:r>
    </w:p>
    <w:p>
      <w:r>
        <w:rPr>
          <w:color w:val="555555"/>
          <w:sz w:val="18"/>
        </w:rPr>
        <w:t xml:space="preserve">Stand: 01.01.2026 (konsolidierte Textfassung, kein amtliches Inkrafttretensdatum)</w:t>
      </w:r>
    </w:p>
    <w:p>
      <w:r>
        <w:t xml:space="preserve">Es ist verboten, ein Futtermittel, das den Anforderungen nach Artikel 6 Absatz 1 der Verordnung (EG) Nr. 767/2009 in der Fassung vom 5. Dezember 2018 nicht entspricht, in den Verkehr zu bringen oder zu verfüttern.</w:t>
      </w:r>
    </w:p>
    <w:p>
      <w:r>
        <w:rPr>
          <w:color w:val="555555"/>
          <w:sz w:val="17"/>
        </w:rPr>
        <w:t xml:space="preserve">Zitiervorschlag: § 11 FuttMV 1981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https://recht.nulegal.eu/gesetze/FuttMV%201981/11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