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FuttMV 1981 — Begriffsbestimmungen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Im Sinne dieser Verordnung ist oder sind:</w:t>
      </w:r>
    </w:p>
    <w:p>
      <w:pPr>
        <w:ind w:left="420"/>
      </w:pPr>
      <w:r>
        <w:t xml:space="preserve">1. nicht der Lebensmittelgewinnung dienendes Tier: nicht der Lebensmittelgewinnung dienendes Tier im Sinne des Artikels 3 Absatz 2 Buchstabe d der Verordnung (EG) Nr. 767/2009 in der Fassung vom 5. Dezember 2018,</w:t>
      </w:r>
    </w:p>
    <w:p>
      <w:pPr>
        <w:ind w:left="420"/>
      </w:pPr>
      <w:r>
        <w:t xml:space="preserve">2. Heimtier: Heimtier im Sinne des Artikels 3 Absatz 2 Buchstabe f der Verordnung (EG) Nr. 767/2009 in der Fassung vom 5. Dezember 2018,</w:t>
      </w:r>
    </w:p>
    <w:p>
      <w:pPr>
        <w:ind w:left="420"/>
      </w:pPr>
      <w:r>
        <w:t xml:space="preserve">3. Ergänzungsfuttermittel: Ergänzungsfuttermittel im Sinne des Artikels 3 Absatz 2 Buchstabe j der Verordnung (EG) Nr. 767/2009 in der Fassung vom 5. Dezember 2018,</w:t>
      </w:r>
    </w:p>
    <w:p>
      <w:pPr>
        <w:ind w:left="420"/>
      </w:pPr>
      <w:r>
        <w:t xml:space="preserve">4. Futtermittel für besondere Ernährungszwecke: Futtermittel für besondere Ernährungszwecke im Sinne des Artikels 3 Absatz 2 Buchstabe o der Verordnung (EG) Nr. 767/2009 in der Fassung vom 5. Dezember 2018,</w:t>
      </w:r>
    </w:p>
    <w:p>
      <w:pPr>
        <w:ind w:left="420"/>
      </w:pPr>
      <w:r>
        <w:t xml:space="preserve">5. Arzneifuttermittel: Arzneifuttermittel im Sinne des Artikels 3 Absatz 2 Buchstabe a der Verordnung (EU) 2019/4 in der Fassung vom 11. Dezember 2018,</w:t>
      </w:r>
    </w:p>
    <w:p>
      <w:pPr>
        <w:ind w:left="420"/>
      </w:pPr>
      <w:r>
        <w:t xml:space="preserve">6. Zwischenerzeugnis: Zwischenerzeugnis im Sinne des Artikels 3 Absatz 2 Buchstabe b der Verordnung (EU) 2019/4 in der Fassung vom 11. Dezember 2018,</w:t>
      </w:r>
    </w:p>
    <w:p>
      <w:pPr>
        <w:ind w:left="420"/>
      </w:pPr>
      <w:r>
        <w:t xml:space="preserve">7. Inhaltsstoffe: Stoffe – außer Futtermittelzusatzstoffen, Mittelrückständen und unerwünschten Stoffen –, die in einem Einzelfuttermittel oder Mischfuttermittel enthalten sind und seinen Futterwert beeinflussen, es sei denn, dass diese Beeinflussung nur unerheblich ist,</w:t>
      </w:r>
    </w:p>
    <w:p>
      <w:pPr>
        <w:ind w:left="420"/>
      </w:pPr>
      <w:r>
        <w:t xml:space="preserve">8. Pestizidrückstände: Pestizidrückstände im Sinne des Artikels 3 Absatz 2 Buchstabe c der Verordnung (EG) Nr. 396/2005 in der Fassung vom 27. März 2025,</w:t>
      </w:r>
    </w:p>
    <w:p>
      <w:pPr>
        <w:ind w:left="420"/>
      </w:pPr>
      <w:r>
        <w:t xml:space="preserve">9. mobiler Mischer: mobiler Mischer im Sinne des Artikels 3 Absatz 2 Buchstabe f der Verordnung (EU) 2019/4 in der Fassung vom 11. Dezember 2018,</w:t>
      </w:r>
    </w:p>
    <w:p>
      <w:pPr>
        <w:ind w:left="420"/>
      </w:pPr>
      <w:r>
        <w:t xml:space="preserve">10. EG-Zulassungsverordnung: Verordnung der Europäischen Gemeinschaft oder der Europäischen Union nach</w:t>
      </w:r>
    </w:p>
    <w:p>
      <w:pPr>
        <w:ind w:left="780"/>
      </w:pPr>
      <w:r>
        <w:t xml:space="preserve">a) Artikel 3, 9g Absatz 5, Artikel 9h Absatz 3 oder Artikel 9i Absatz 3 der Richtlinie 70/524/EWG in der Fassung vom 23. September 2002,</w:t>
      </w:r>
    </w:p>
    <w:p>
      <w:pPr>
        <w:ind w:left="780"/>
      </w:pPr>
      <w:r>
        <w:t xml:space="preserve">b) Artikel 3 Absatz 1 Buchstabe a der Verordnung (EG) Nr. 1831/2003 in der Fassung vom 20. Juni 2019,</w:t>
      </w:r>
    </w:p>
    <w:p>
      <w:pPr>
        <w:ind w:left="420"/>
      </w:pPr>
      <w:r>
        <w:t xml:space="preserve">11. Einfuhr: die Überlassung zum zollrechtlich freien Verkehr im Sinne des Artikels 201 der Verordnung (EU) Nr. 952/2013 in der Fassung vom 23. November 2022,</w:t>
      </w:r>
    </w:p>
    <w:p>
      <w:pPr>
        <w:ind w:left="420"/>
      </w:pPr>
      <w:r>
        <w:t xml:space="preserve">12. Mitgliedstaat: ein Staat, der der Europäischen Union angehört,</w:t>
      </w:r>
    </w:p>
    <w:p>
      <w:pPr>
        <w:ind w:left="420"/>
      </w:pPr>
      <w:r>
        <w:t xml:space="preserve">13. Vertragsstaat: ein Staat, der – ohne Mitglied der Europäischen Union zu sein – Vertragsstaat des Abkommens über den Europäischen Wirtschaftsraum ist,</w:t>
      </w:r>
    </w:p>
    <w:p>
      <w:pPr>
        <w:ind w:left="420"/>
      </w:pPr>
      <w:r>
        <w:t xml:space="preserve">14. Drittland: Staat, der nicht Mitgliedstaat oder Vertragsstaat ist,</w:t>
      </w:r>
    </w:p>
    <w:p>
      <w:pPr>
        <w:ind w:left="420"/>
      </w:pPr>
      <w:r>
        <w:t xml:space="preserve">15. Fernabsatzvertrag: Vertrag, bei dem</w:t>
      </w:r>
    </w:p>
    <w:p>
      <w:pPr>
        <w:ind w:left="780"/>
      </w:pPr>
      <w:r>
        <w:t xml:space="preserve">a) ein Futtermittelunternehmer oder eine in seinem Namen oder Auftrag handelnde Person und</w:t>
      </w:r>
    </w:p>
    <w:p>
      <w:pPr>
        <w:ind w:left="780"/>
      </w:pPr>
      <w:r>
        <w:t xml:space="preserve">b) eine natürliche Person, die ein Rechtsgeschäft zu Zwecken abschließt, die weder ihrer gewerblichen noch ihrer selbständigen beruflichen Tätigkeit zugerechnet werden können,</w:t>
      </w:r>
    </w:p>
    <w:p>
      <w:pPr>
        <w:ind w:left="420"/>
      </w:pPr>
      <w:r>
        <w:t xml:space="preserve">für die Vertragsverhandlungen und den Vertragsschluss ausschließlich Fernkommunikationsmittel verwenden, es sei denn, dass der Vertragsschluss nicht im Rahmen eines für den Fernabsatz organisierten Vertriebs- oder Dienstleistungssystems erfolgt,</w:t>
      </w:r>
    </w:p>
    <w:p>
      <w:pPr>
        <w:ind w:left="420"/>
      </w:pPr>
      <w:r>
        <w:t xml:space="preserve">16. Fernkommunikationsmittel: Kommunikationsmittel, die zur Anbahnung oder zum Abschluss eines Vertrages eingesetzt werden können, ohne dass die Vertragsparteien gleichzeitig körperlich anwesend sind, wie Briefe, Kataloge, Telekopien, E-Mails oder digitale Dienste nach § 1 Absatz 4 Nummer 1 des Digitale-Dienste-Gesetzes.</w:t>
      </w:r>
    </w:p>
    <w:p>
      <w:r>
        <w:rPr>
          <w:color w:val="555555"/>
          <w:sz w:val="17"/>
        </w:rPr>
        <w:t xml:space="preserve">Zitiervorschlag: § 1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