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FuttMSachkV (Brandenburg) — Zulassung zum Lehrgang</w:t>
      </w:r>
    </w:p>
    <w:p>
      <w:r>
        <w:rPr>
          <w:color w:val="555555"/>
          <w:sz w:val="18"/>
        </w:rPr>
        <w:t xml:space="preserve">Futtermittelsachkunde-Verordnung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dem für Verbraucherschutz zuständigen Ministerium kann zum Lehrgang zugelassen werden, wer</w:t>
      </w:r>
    </w:p>
    <w:p>
      <w:r>
        <w:t xml:space="preserve">mindestens eine der Voraussetzungen nach § 2 Absatz 1 Satz 1 Nummer 1 bis 3 der Futtermittelkontrolleur-Verordnung erfüllt und</w:t>
      </w:r>
    </w:p>
    <w:p>
      <w:r>
        <w:t xml:space="preserve">sich in einem Beschäftigungsverhältnis bei einer für Futtermittelüberwachung zuständigen Behörde (Einstellungsbehörde) befindet.</w:t>
      </w:r>
    </w:p>
    <w:p>
      <w:r>
        <w:rPr>
          <w:color w:val="555555"/>
          <w:sz w:val="17"/>
        </w:rPr>
        <w:t xml:space="preserve">Zitiervorschlag: § 2 FuttMSachkV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https://recht.nulegal.eu/gesetze/FuttMSachkV/2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