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FuttMKontrV</w:t>
      </w:r>
    </w:p>
    <w:p>
      <w:r>
        <w:rPr>
          <w:color w:val="555555"/>
          <w:sz w:val="18"/>
        </w:rPr>
        <w:t xml:space="preserve">Futtermittelkontrolleur-Verordnung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für Verbraucherschutz, Ernährung und Landwirtschaft verordnet</w:t>
      </w:r>
    </w:p>
    <w:p>
      <w:pPr>
        <w:ind w:left="420"/>
      </w:pPr>
      <w:r>
        <w:t xml:space="preserve">- auf Grund des § 19 Abs. 1a Satz 2 des Futtermittelgesetzes in der Fassung der Bekanntmachung vom 25. August 2000 (BGBl. I S. 1358), der durch Artikel 1 Abs. 1 Nr. 3 des Gesetzes vom 8. August 2002 (BGBl. I S. 3116) eingefügt worden ist, sowie</w:t>
      </w:r>
    </w:p>
    <w:p>
      <w:pPr>
        <w:ind w:left="420"/>
      </w:pPr>
      <w:r>
        <w:t xml:space="preserve">- auf Grund des § 4 Abs. 3 Satz 1 in Verbindung mit Satz 2 Nr. 2 des Verfütterungsverbotsgesetzes in der Fassung der Bekanntmachung vom 29. März 2001 (BGBl. I S. 463) sowie in Verbindung mit § 19 Abs. 1a des Futtermittelgesetzes in der Fassung der Bekanntmachung vom 25. August 2000 (BGBl. I S. 1358), von denen § 4 Abs. 3 Satz 2 Nr. 2 des Verfütterungsverbotsgesetzes durch Artikel 1 Abs. 2 des Gesetzes vom 8. August 2002 (BGBl. I S. 3116) geändert und § 19 Abs. 1a des Futtermittelgesetzes durch Artikel 1 Abs. 1 Nr. 3 des Gesetzes vom 8. August 2002 (BGBl. I S. 3116) eingefügt worden sind:</w:t>
      </w:r>
    </w:p>
    <w:p>
      <w:r>
        <w:rPr>
          <w:color w:val="555555"/>
          <w:sz w:val="17"/>
        </w:rPr>
        <w:t xml:space="preserve">Zitiervorschlag: Eingangsformel FuttMKontrV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https://recht.nulegal.eu/gesetze/FuttMKontrV/eingangsformel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