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FuttMKontrV — Übergangsvorschriften</w:t>
      </w:r>
    </w:p>
    <w:p>
      <w:r>
        <w:rPr>
          <w:color w:val="555555"/>
          <w:sz w:val="18"/>
        </w:rPr>
        <w:t xml:space="preserve">Futtermittelkontrolleur-Verordnung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Anforderungen nach § 1 gelten als erfüllt bei Personen, die am 8. Oktober 2003 mit der Durchführung der amtlichen Futtermittelüberwachung betraut sind. Die zuständige Landesbehörde stellt sicher, dass die in Satz 1 genannten Personen, soweit erforderlich, durch Fortbildungsmaßnahmen, die insbesondere die theoretischen Unterrichtsteile des Lehrgangs nach § 3 zum Gegenstand haben, innerhalb von drei Jahren nach dem 8. Oktober 2003 in den Stand gesetzt werden, alle in § 1 genannten Tätigkeiten auszuüben. Der erfolgreiche Abschluss einer Fortbildungsmaßnahme nach Satz 2 ist durch Zeugnis oder Bescheinigung nachzuweisen.</w:t>
      </w:r>
    </w:p>
    <w:p>
      <w:r>
        <w:t xml:space="preserve">(2) Auf Personen, die am 8. Oktober 2003 mit der Durchführung der Probenahme nach § 1 Abs. 2 Nr. 4 betraut sind, ist § 2 Abs. 2 nicht anzuwenden. Die zuständige Landesbehörde stellt sicher, dass die in Satz 1 genannten Personen, soweit erforderlich, durch Fortbildungsmaßnahmen die die relevanten Ausbildungsziele des Lehrgangs nach § 3 zum Gegenstand haben, innerhalb von drei Jahren nach dem 8. Oktober 2003 in den Stand gesetzt werden, die Probenahme entsprechend den an die in § 2 Abs. 2 genannten Personen gestellten Anforderungen durchzuführen. Der erfolgreiche Abschluss einer Fortbildungsmaßnahme nach Satz 2 ist durch Zeugnis oder Bescheinigung nachzuweisen.</w:t>
      </w:r>
    </w:p>
    <w:p>
      <w:r>
        <w:rPr>
          <w:color w:val="555555"/>
          <w:sz w:val="17"/>
        </w:rPr>
        <w:t xml:space="preserve">Zitiervorschlag: § 6 FuttMKontrV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https://recht.nulegal.eu/gesetze/FuttMKontrV/6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