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FuttMKontrV — Fortbildung</w:t>
      </w:r>
    </w:p>
    <w:p>
      <w:r>
        <w:rPr>
          <w:color w:val="555555"/>
          <w:sz w:val="18"/>
        </w:rPr>
        <w:t xml:space="preserve">Futtermittelkontrolleur-Verordnung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1 genannten Personen haben mindestens alle zwei Jahre an Fortbildungsveranstaltungen von insgesamt mindestens einer Woche teilzunehmen, in denen die erworbenen Kenntnisse erweitert und neue Erkenntnisse und Entwicklungen auf den in § 3 Abs. 2 genannten Gebieten vermittelt werden. Kürzere Fortbildungsveranstaltungen in auf das Futtermittelrecht oder die Tierernährung bezogenen Fachrichtungen können angerechnet werden.</w:t>
      </w:r>
    </w:p>
    <w:p>
      <w:r>
        <w:t xml:space="preserve">(2) Die zuständige oberste Landesbehörde kann, soweit besondere Gründe vorliegen und Kenntnisse vorhanden sind, die denen, die in den Fortbildungsveranstaltungen nach Absatz 1 vermittelt werden, entsprechen, im Einzelfall Ausnahmen von den Fortbildungsverpflichtungen nach Absatz 1 zulassen.</w:t>
      </w:r>
    </w:p>
    <w:p>
      <w:r>
        <w:t xml:space="preserve">(3) Die Befähigung zur Ausübung der Tätigkeit als Futtermittelkontrolleur gemäß § 1 Abs. 1 erlischt, wenn die betreffende Person - außer in den Fällen des Absatzes 2 - ihrer Fortbildungsverpflichtung nicht nachkommt und dies zu vertreten hat.</w:t>
      </w:r>
    </w:p>
    <w:p>
      <w:r>
        <w:t xml:space="preserve">(4) Probenehmer nach § 2 Abs. 2 nehmen alle zwei Jahre an Fortbildungsveranstaltungen teil, in denen die unter § 3 Abs. 2 Nr. 1 bis 3, 5 bis 10 und 12 genannten Kenntnisse und Fertigkeiten theoretisch und praktisch vermittelt und erweitert werden.</w:t>
      </w:r>
    </w:p>
    <w:p>
      <w:r>
        <w:rPr>
          <w:color w:val="555555"/>
          <w:sz w:val="17"/>
        </w:rPr>
        <w:t xml:space="preserve">Zitiervorschlag: § 4 FuttMKontrV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https://recht.nulegal.eu/gesetze/FuttMKontrV/4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