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FundV (Bayern)</w:t>
      </w:r>
    </w:p>
    <w:p>
      <w:r>
        <w:rPr>
          <w:color w:val="555555"/>
          <w:sz w:val="18"/>
        </w:rPr>
        <w:t xml:space="preserve">Verordnung über die Zuständigkeiten und das Verfahren der Fundbehörden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Fundsache ist nur gegen Erstattung aller den Fundbehörden (§ 1 Abs. 1) durch den Transport, die Verwahrung und Erhaltung der Sache erwachsenen Aufwendungen, der Versteigerungserlös nur unter Abzug dieser Aufwendungen dem Empfangsberechtigten oder dem Finder herauszugeben.</w:t>
      </w:r>
    </w:p>
    <w:p>
      <w:r>
        <w:rPr>
          <w:color w:val="555555"/>
          <w:sz w:val="17"/>
        </w:rPr>
        <w:t xml:space="preserve">Zitiervorschlag: § 9 FundV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https://recht.nulegal.eu/gesetze/FundV/9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