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FundV (Bayern)</w:t>
      </w:r>
    </w:p>
    <w:p>
      <w:r>
        <w:rPr>
          <w:color w:val="555555"/>
          <w:sz w:val="18"/>
        </w:rPr>
        <w:t xml:space="preserve">Verordnung über die Zuständigkeiten und das Verfahren der Fundbehörden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Zuständig für die Entgegennahme</w:t>
      </w:r>
    </w:p>
    <w:p>
      <w:r>
        <w:t xml:space="preserve">1. der Erklärung des Finders, auf das Recht zum Erwerb des Eigentums an der Fundsache zu verzichten (§ 976 Abs. 1 des Bürgerlichen Gesetzbuchs),</w:t>
      </w:r>
    </w:p>
    <w:p>
      <w:r>
        <w:t xml:space="preserve">2. der Anmeldung der Rechte des Verlierers (§ 973 Abs. 1 Satz 1 des Bürgerlichen Gesetzbuchs)</w:t>
      </w:r>
    </w:p>
    <w:p>
      <w:r>
        <w:t xml:space="preserve">sind die in § 1 Abs. 1 bezeichneten Stellen. Wird die Erklärung nach Satz 1 einer anderen Stelle als der Gemeinde des Fundorts erklärt, so ist sie der Gemeinde des Fundorts zuzuleiten.</w:t>
      </w:r>
    </w:p>
    <w:p>
      <w:r>
        <w:t xml:space="preserve">[Amtl. Anm.:] BGBl. FN 400-2</w:t>
      </w:r>
    </w:p>
    <w:p>
      <w:r>
        <w:rPr>
          <w:color w:val="555555"/>
          <w:sz w:val="17"/>
        </w:rPr>
        <w:t xml:space="preserve">Zitiervorschlag: § 7 FundV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https://recht.nulegal.eu/gesetze/FundV/7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