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FundV (Bayern)</w:t>
      </w:r>
    </w:p>
    <w:p>
      <w:r>
        <w:rPr>
          <w:color w:val="555555"/>
          <w:sz w:val="18"/>
        </w:rPr>
        <w:t xml:space="preserve">Verordnung über die Zuständigkeiten und das Verfahren der Fundbehörden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 für die Anordnung, eine Fundsache oder den Versteigerungserlös abzuliefern (§ 967 Halbsatz 1 des Bürgerlichen Gesetzbuchs), ist die Gemeinde des Fundorts und jede andere Gemeinde, der der Fund angezeigt worden ist.</w:t>
      </w:r>
    </w:p>
    <w:p>
      <w:r>
        <w:t xml:space="preserve">(2) Die Ablieferung nach Absatz 1 soll angeordnet werden, wenn es sich bei der Fundsache um</w:t>
      </w:r>
    </w:p>
    <w:p>
      <w:r>
        <w:t xml:space="preserve">1. ein amtliches Ausweispapier oder eine amtliche Berechtigungsurkunde, insbesondere eine waffenrechtliche oder sprengstoffrechtliche Erlaubnisurkunde, eine Fahrerlaubnis, einen Fahrzeugbrief oder Fahrzeugschein,</w:t>
      </w:r>
    </w:p>
    <w:p>
      <w:r>
        <w:t xml:space="preserve">2. eine Schußwaffe oder Munition, deren Erwerb ihrer Art nach der Erlaubnis gemäß dem Waffengesetz bedarf,</w:t>
      </w:r>
    </w:p>
    <w:p>
      <w:r>
        <w:t xml:space="preserve">3. Gegenstände der in § 37 Abs. 1 des Waffengesetzes bezeichneten Art,</w:t>
      </w:r>
    </w:p>
    <w:p>
      <w:r>
        <w:t xml:space="preserve">4. Sprengstoffe oder</w:t>
      </w:r>
    </w:p>
    <w:p>
      <w:r>
        <w:t xml:space="preserve">5. Betäubungsmittel im Sinn des Betäubungsmittelgesetzes</w:t>
      </w:r>
    </w:p>
    <w:p>
      <w:r>
        <w:t xml:space="preserve">handelt. In sonstigen Fällen soll die Ablieferung der Fundsache oder des Versteigerungserlöses angeordnet werden, wenn die Person des Finders oder die Beschaffenheit der Fundsache die Aufbewahrung durch die Fundbehörde zweckmäßig erscheinen läßt.</w:t>
      </w:r>
    </w:p>
    <w:p>
      <w:r>
        <w:t xml:space="preserve">[Amtl. Anm.:] BGBl. FN 400-2</w:t>
      </w:r>
    </w:p>
    <w:p>
      <w:r>
        <w:t xml:space="preserve">[Amtl. Anm.:] BGBl. FN 7133-3</w:t>
      </w:r>
    </w:p>
    <w:p>
      <w:r>
        <w:t xml:space="preserve">[Amtl. Anm.:] BGBl. FN 2121-6-24</w:t>
      </w:r>
    </w:p>
    <w:p>
      <w:r>
        <w:rPr>
          <w:color w:val="555555"/>
          <w:sz w:val="17"/>
        </w:rPr>
        <w:t xml:space="preserve">Zitiervorschlag: § 3 FundV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https://recht.nulegal.eu/gesetze/FundV/3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