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FundV (Bayern)</w:t>
      </w:r>
    </w:p>
    <w:p>
      <w:r>
        <w:rPr>
          <w:color w:val="555555"/>
          <w:sz w:val="18"/>
        </w:rPr>
        <w:t xml:space="preserve">Verordnung über die Zuständigkeiten und das Verfahren der Fundbehörden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 für die Entgegennahme der Fundsache und des Erlöses einer Fundsache, die der Finder öffentlich hat versteigern lassen (§ 967 Halbsatz 2 des Bürgerlichen Gesetzbuchs), ist jede Gemeinde. In den Fällen des § 1 Abs. 1 Sätze 2 und 3 sind auch die dort bezeichneten Stellen für die Entgegennahme zuständig.</w:t>
      </w:r>
    </w:p>
    <w:p>
      <w:r>
        <w:t xml:space="preserve">[Amtl. Anm.:] BGBl. FN 400-2</w:t>
      </w:r>
    </w:p>
    <w:p>
      <w:r>
        <w:rPr>
          <w:color w:val="555555"/>
          <w:sz w:val="17"/>
        </w:rPr>
        <w:t xml:space="preserve">Zitiervorschlag: § 2 FundV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https://recht.nulegal.eu/gesetze/FundV/2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