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FundV (Bayern)</w:t>
      </w:r>
    </w:p>
    <w:p>
      <w:r>
        <w:rPr>
          <w:color w:val="555555"/>
          <w:sz w:val="18"/>
        </w:rPr>
        <w:t xml:space="preserve">Verordnung über die Zuständigkeiten und das Verfahren der Fundbehörden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 Verordnung tritt am 1. September 1977 in Kraft.</w:t>
      </w:r>
    </w:p>
    <w:p>
      <w:r>
        <w:t xml:space="preserve">(2) (gegenstandslos)</w:t>
      </w:r>
    </w:p>
    <w:p>
      <w:r>
        <w:t xml:space="preserve">[Amtl. Anm.:] Betrifft die ursprüngliche Fassung vom 12. Juli 1977 (GVBl. S. 386)</w:t>
      </w:r>
    </w:p>
    <w:p>
      <w:r>
        <w:rPr>
          <w:color w:val="555555"/>
          <w:sz w:val="17"/>
        </w:rPr>
        <w:t xml:space="preserve">Zitiervorschlag: § 11 FundV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https://recht.nulegal.eu/gesetze/FundV/11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