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FuAG — Bereitstellung auf dem Markt, Inbetriebnahme und Nutzung</w:t>
      </w:r>
    </w:p>
    <w:p>
      <w:r>
        <w:rPr>
          <w:color w:val="555555"/>
          <w:sz w:val="18"/>
        </w:rPr>
        <w:t xml:space="preserve">Funkanlagengesetz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Funkanlagen dürfen nur auf dem Markt bereitgestellt, in Betrieb genommen und genutzt werden, wenn sie bei ordnungsgemäßer Installierung und Wartung sowie bei bestimmungsgemäßer Nutzung den Anforderungen dieses Gesetzes genügen.</w:t>
      </w:r>
    </w:p>
    <w:p>
      <w:r>
        <w:t xml:space="preserve">(2) Zusätzliche Anforderungen in Rechtsvorschriften zur effektiven und effizienten Nutzung des Funkspektrums, zur Vermeidung funktechnischer Störungen, zur Vermeidung elektromagnetischer Störungen oder aus Gründen der öffentlichen Gesundheit bleiben unberührt.</w:t>
      </w:r>
    </w:p>
    <w:p>
      <w:r>
        <w:rPr>
          <w:color w:val="555555"/>
          <w:sz w:val="17"/>
        </w:rPr>
        <w:t xml:space="preserve">Zitiervorschlag: § 7 FuAG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https://recht.nulegal.eu/gesetze/FuAG/7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