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FuAG — Registrierung von Funkanlagen bestimmter Kategorien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 dem 12. Juni 2018 dürfen Funkanlagentypen, die zu Gerätekategorien nach Absatz 2 mit einem geringen Maß an Konformität mit den grundlegenden Anforderungen nach § 4 Absatz 1 und 2 und, soweit zutreffend, Absatz 3 aufweisen, nur noch in Verkehr gebracht werden, wenn der Hersteller sie zuvor nach Maßgabe des Artikels 5 der Richtlinie 2014/53/EU hat registrieren lassen. Die von der Kommission für jeden registrierten Funkanlagentyp vergebene Registriernummer hat der Hersteller an den Funkanlagen anzubringen.</w:t>
      </w:r>
    </w:p>
    <w:p>
      <w:r>
        <w:t xml:space="preserve">(2) Die von den Anforderungen in Absatz 1 betroffenen Kategorien von Funkanlagen und die Elemente der bereitzustellenden technischen Unterlagen werden von der Kommission durch einen delegierten Rechtsakt nach Artikel 44 der Richtlinie 2014/53/EU festgelegt.</w:t>
      </w:r>
    </w:p>
    <w:p>
      <w:r>
        <w:t xml:space="preserve">(3) Die Registrierung und die Anbringung der Registriernummer an der Funkanlage erfolgt entsprechend den Festlegungen der Kommission gemäß Artikel 5 Absatz 3 der Richtlinie 2014/53/EU.</w:t>
      </w:r>
    </w:p>
    <w:p>
      <w:r>
        <w:rPr>
          <w:color w:val="555555"/>
          <w:sz w:val="17"/>
        </w:rPr>
        <w:t xml:space="preserve">Zitiervorschlag: § 6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