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FuAG — Grundlegende Anforderungen an Funkanlagen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Funkanlagen müssen so konstruiert sein, dass Folgendes gewährleistet ist:</w:t>
      </w:r>
    </w:p>
    <w:p>
      <w:pPr>
        <w:ind w:left="420"/>
      </w:pPr>
      <w:r>
        <w:t xml:space="preserve">1. der Schutz der Gesundheit und Sicherheit von Menschen und Haus- und Nutztieren sowie der Schutz von Gütern und der in der Richtlinie 2014/35/EU genannten Ziele in Bezug auf die Sicherheitsanforderungen, jedoch ohne Anwendung der Spannungsgrenze;</w:t>
      </w:r>
    </w:p>
    <w:p>
      <w:pPr>
        <w:ind w:left="420"/>
      </w:pPr>
      <w:r>
        <w:t xml:space="preserve">2. die Erfüllung der in Anhang I der Richtlinie 2014/30/EU des Europäischen Parlaments und des Rates vom 26. Februar 2014 zur Harmonisierung der Rechtsvorschriften der Mitgliedstaaten über die elektromagnetische Verträglichkeit (ABl. L 96 vom 29.3.2014, S. 79) genannten Anforderungen an die elektromagnetische Verträglichkeit.</w:t>
      </w:r>
    </w:p>
    <w:p>
      <w:r>
        <w:t xml:space="preserve">(2) Funkanlagen müssen zudem so gebaut sein, dass sie sowohl das Funkspektrum effektiv nutzen als auch eine effiziente Nutzung des Funkspektrums unterstützen.</w:t>
      </w:r>
    </w:p>
    <w:p>
      <w:r>
        <w:t xml:space="preserve">(3) Funkanlagen bestimmter Kategorien oder Klassen müssen, sofern und soweit die Kommission gemäß Artikel 44 der Richtlinie 2014/53/EU dies in delegierten Rechtsakten festgelegt hat, so gebaut sein, dass sie die folgenden grundlegenden Anforderungen erfüllen:</w:t>
      </w:r>
    </w:p>
    <w:p>
      <w:pPr>
        <w:ind w:left="420"/>
      </w:pPr>
      <w:r>
        <w:t xml:space="preserve">1. Sie sind mit anderem Zubehör kompatibel als den Ladenetzteilen für die in Anhang Ia Teil I der Richtlinie 2014/53/EU aufgeführten Kategorien oder Klassen von Funkanlagen, die in Absatz 4 ausdrücklich genannt sind.</w:t>
      </w:r>
    </w:p>
    <w:p>
      <w:pPr>
        <w:ind w:left="420"/>
      </w:pPr>
      <w:r>
        <w:t xml:space="preserve">2. Sie arbeiten über Netzwerke mit anderen Funkanlagen zusammen.</w:t>
      </w:r>
    </w:p>
    <w:p>
      <w:pPr>
        <w:ind w:left="420"/>
      </w:pPr>
      <w:r>
        <w:t xml:space="preserve">3. Sie können unionsweit über Schnittstellen des geeigneten Typs miteinander verbunden werden.</w:t>
      </w:r>
    </w:p>
    <w:p>
      <w:pPr>
        <w:ind w:left="420"/>
      </w:pPr>
      <w:r>
        <w:t xml:space="preserve">4. Sie haben weder schädliche Auswirkungen auf das Netz oder seinen Betrieb noch bewirken sie eine missbräuchliche Nutzung von Netzressourcen, wodurch eine unannehmbare Beeinträchtigung des Dienstes verursacht würde.</w:t>
      </w:r>
    </w:p>
    <w:p>
      <w:pPr>
        <w:ind w:left="420"/>
      </w:pPr>
      <w:r>
        <w:t xml:space="preserve">5. Sie verfügen über Sicherheitsvorrichtungen, die sicherstellen, dass personenbezogene Daten und die Privatsphäre des Nutzers und des Teilnehmers geschützt werden.</w:t>
      </w:r>
    </w:p>
    <w:p>
      <w:pPr>
        <w:ind w:left="420"/>
      </w:pPr>
      <w:r>
        <w:t xml:space="preserve">6. Sie unterstützen bestimmte Funktionen zum Schutz vor Betrug.</w:t>
      </w:r>
    </w:p>
    <w:p>
      <w:pPr>
        <w:ind w:left="420"/>
      </w:pPr>
      <w:r>
        <w:t xml:space="preserve">7. Sie unterstützen bestimmte Funktionen, die den Zugang zu Rettungsdiensten sicherstellen.</w:t>
      </w:r>
    </w:p>
    <w:p>
      <w:pPr>
        <w:ind w:left="420"/>
      </w:pPr>
      <w:r>
        <w:t xml:space="preserve">8. Sie unterstützen bestimmte Funktionen, die ihre Bedienung durch Menschen mit Behinderungen erleichtern sollen.</w:t>
      </w:r>
    </w:p>
    <w:p>
      <w:pPr>
        <w:ind w:left="420"/>
      </w:pPr>
      <w:r>
        <w:t xml:space="preserve">9. Sie unterstützen bestimmte Funktionen, mit denen sichergestellt werden soll, dass nur solche Software geladen werden kann, für die die Konformität ihrer Kombination mit der Funkanlage nachgewiesen wurde.</w:t>
      </w:r>
    </w:p>
    <w:p>
      <w:r>
        <w:t xml:space="preserve">(4) Funkanlagen der in Anhang Ia Teil I der Richtlinie 2014/53/EU genannten Kategorien oder Klassen müssen so konstruiert sein, dass sie den in diesem Anhang für die jeweilige Kategorie oder Klasse von Funkanlagen festgelegten Spezifikationen für Ladefunktionen entsprechen.</w:t>
      </w:r>
    </w:p>
    <w:p>
      <w:r>
        <w:rPr>
          <w:color w:val="555555"/>
          <w:sz w:val="17"/>
        </w:rPr>
        <w:t xml:space="preserve">Zitiervorschlag: § 4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