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FuAG — Schutz von Personen vor elektromagnetischen Feldern</w:t>
      </w:r>
    </w:p>
    <w:p>
      <w:r>
        <w:rPr>
          <w:color w:val="555555"/>
          <w:sz w:val="18"/>
        </w:rPr>
        <w:t xml:space="preserve">Funkanlagengesetz</w:t>
      </w:r>
    </w:p>
    <w:p>
      <w:r>
        <w:rPr>
          <w:color w:val="555555"/>
          <w:sz w:val="18"/>
        </w:rPr>
        <w:t xml:space="preserve">Stand: 10.06.2019 (konsolidierte Textfassung, kein amtliches Inkrafttretensdatum)</w:t>
      </w:r>
    </w:p>
    <w:p>
      <w:r>
        <w:t xml:space="preserve">Die Bundesregierung wird ermächtigt, durch Rechtsverordnung mit Zustimmung des Bundesrates nähere Regelungen zur Gewährleistung des Schutzes von Personen in den durch den Betrieb von Funkanlagen und Radaranlagen entstehenden elektromagnetischen Feldern zu treffen. Immissionsschutzrechtliche und arbeitsschutzrechtliche Regelungen bleiben hiervon unberührt.</w:t>
      </w:r>
    </w:p>
    <w:p>
      <w:r>
        <w:rPr>
          <w:color w:val="555555"/>
          <w:sz w:val="17"/>
        </w:rPr>
        <w:t xml:space="preserve">Zitiervorschlag: § 32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