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FuAG — Maßnahmen bei fehlerhaften technischen Unterlagen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Genügen die technischen Unterlagen nicht den Anforderungen des § 21 und ergibt sich daraus, dass die vorgelegten einschlägigen Daten oder die Mittel, die zur Sicherstellung der Konformität von Funkanlagen mit den grundlegenden Anforderungen nach § 4 eingesetzt werden, nicht ausreichend sind, so kann die Bundesnetzagentur den Hersteller oder den Einführer auffordern, die Konformität auf eigene Kosten prüfen zu lassen.</w:t>
      </w:r>
    </w:p>
    <w:p>
      <w:r>
        <w:t xml:space="preserve">(2) Die Prüfung muss von einer Konformitätsbewertungsstelle durchgeführt werden, die von der Bundesnetzagentur anerkannt ist. Die Bundesnetzagentur bestimmt die Frist, innerhalb derer die Prüfung durchzuführen ist.</w:t>
      </w:r>
    </w:p>
    <w:p>
      <w:r>
        <w:rPr>
          <w:color w:val="555555"/>
          <w:sz w:val="17"/>
        </w:rPr>
        <w:t xml:space="preserve">Zitiervorschlag: § 27 FuAG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