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FuAG — Maßnahmen bei nichtkonformen Funkanlagen</w:t>
      </w:r>
    </w:p>
    <w:p>
      <w:r>
        <w:rPr>
          <w:color w:val="555555"/>
          <w:sz w:val="18"/>
        </w:rPr>
        <w:t xml:space="preserve">Funkanlagengesetz</w:t>
      </w:r>
    </w:p>
    <w:p>
      <w:r>
        <w:rPr>
          <w:color w:val="555555"/>
          <w:sz w:val="18"/>
        </w:rPr>
        <w:t xml:space="preserve">Stand: 10.06.2019 (konsolidierte Textfassung, kein amtliches Inkrafttretensdatum)</w:t>
      </w:r>
    </w:p>
    <w:p>
      <w:r>
        <w:t xml:space="preserve">(1) Ergreift der Wirtschaftsakteur, in dessen Verantwortungsbereich sich eine nichtkonforme Funkanlage befindet, innerhalb der in § 24 Absatz 2 Satz 1 gesetzten Frist keine geeigneten Korrekturmaßnahmen, so trifft die Bundesnetzagentur alle geeigneten Maßnahmen, um die Bereitstellung der Funkanlage auf dem deutschen Markt einzuschränken oder zu untersagen, oder sie ordnet an, dass die Funkanlage zurückgenommen oder zurückgerufen wird. Ist kein Wirtschaftsakteur im Markt der Europäischen Union ansässig, können die Maßnahmen gegen jeden gerichtet werden, der die Weitergabe im Auftrag des Wirtschaftsakteurs vornimmt.</w:t>
      </w:r>
    </w:p>
    <w:p>
      <w:r>
        <w:t xml:space="preserve">(2) Ist die Bundesnetzagentur der Auffassung, dass sich die Nichtkonformität nicht auf das deutsche Hoheitsgebiet beschränkt, so</w:t>
      </w:r>
    </w:p>
    <w:p>
      <w:pPr>
        <w:ind w:left="420"/>
      </w:pPr>
      <w:r>
        <w:t xml:space="preserve">1. trifft sie die Maßnahmen nach Absatz 1 unter dem Vorbehalt, dass sie widerrufen werden, wenn die Kommission nach Artikel 41 Absatz 1 der Richtlinie 2014/53/EU feststellt, dass die Maßnahmen nicht gerechtfertigt sind, und</w:t>
      </w:r>
    </w:p>
    <w:p>
      <w:pPr>
        <w:ind w:left="420"/>
      </w:pPr>
      <w:r>
        <w:t xml:space="preserve">2. informiert sie die nationalen Wirtschaftsakteure in geeigneter Weise im Amtsblatt der Bundesnetzagentur über die Maßnahmen und gibt ihnen Gelegenheit zur Stellungnahme; die Frist zur Stellungnahme beträgt vier Wochen ab der Veröffentlichung im Amtsblatt.</w:t>
      </w:r>
    </w:p>
    <w:p>
      <w:r>
        <w:rPr>
          <w:color w:val="555555"/>
          <w:sz w:val="17"/>
        </w:rPr>
        <w:t xml:space="preserve">Zitiervorschlag: § 25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