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22e FuAG — Vorrangigkeit der Marktüberwachung im Notfallmodus für den Binnenmarkt</w:t>
      </w:r>
    </w:p>
    <w:p>
      <w:r>
        <w:rPr>
          <w:color w:val="555555"/>
          <w:sz w:val="18"/>
        </w:rPr>
        <w:t xml:space="preserve">Funkanlagengesetz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Die Bundesnetzagentur soll während des Notfallmodus für den Binnenmarkt Marktüberwachungstätigkeiten nach Abschnitt 5 dieses Gesetzes vorrangig an Funkanlagen durchführen, die in einem Durchführungsrechtsakt nach § 22a Absatz 1 Nummer 1 aufgeführt sind.</w:t>
      </w:r>
    </w:p>
    <w:p>
      <w:r>
        <w:t xml:space="preserve">(2) Während eines Notfallmodus für den Binnenmarkt soll die Bundesnetzagentur auch Marktüberwachungsbehörden anderer Mitgliedstaaten zur Unterstützung zur Verfügung stehen.</w:t>
      </w:r>
    </w:p>
    <w:p>
      <w:r>
        <w:rPr>
          <w:color w:val="555555"/>
          <w:sz w:val="17"/>
        </w:rPr>
        <w:t xml:space="preserve">Zitiervorschlag: § 22e FuAG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https://recht.nulegal.eu/gesetze/FuAG/22e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