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22c FuAG — Ausnahme von den Konformitätsbewertungsverfahren bei Notfallverfahren</w:t>
      </w:r>
    </w:p>
    <w:p>
      <w:r>
        <w:rPr>
          <w:color w:val="555555"/>
          <w:sz w:val="18"/>
        </w:rPr>
        <w:t xml:space="preserve">Funkanlagengesetz</w:t>
      </w:r>
    </w:p>
    <w:p>
      <w:r>
        <w:rPr>
          <w:color w:val="555555"/>
          <w:sz w:val="18"/>
        </w:rPr>
        <w:t xml:space="preserve">Stand: 24.07.2026 (konsolidierte Textfassung, kein amtliches Inkrafttretensdatum)</w:t>
      </w:r>
    </w:p>
    <w:p>
      <w:r>
        <w:t xml:space="preserve">(1) Abweichend von § 18 kann die Bundesnetzagentur auf begründeten Antrag eines Wirtschaftsakteurs das Inverkehrbringen einer bestimmten Funkanlage genehmigen,</w:t>
      </w:r>
    </w:p>
    <w:p>
      <w:pPr>
        <w:ind w:left="420"/>
      </w:pPr>
      <w:r>
        <w:t xml:space="preserve">1. die in einem Durchführungsrechtsakt nach § 22a Absatz 1 Nummer 1 aufgeführt ist und</w:t>
      </w:r>
    </w:p>
    <w:p>
      <w:pPr>
        <w:ind w:left="420"/>
      </w:pPr>
      <w:r>
        <w:t xml:space="preserve">2. bei der die in § 18 genannten Konformitätsbewertungsverfahren, bei denen die Einschaltung einer notifizierten Stelle vorgeschrieben ist, nicht durchgeführt wurden,</w:t>
      </w:r>
    </w:p>
    <w:p>
      <w:r>
        <w:t xml:space="preserve">wenn die Erfüllung aller in § 4 festgelegten und einschlägigen grundlegenden Anforderungen im Einklang mit den in der Genehmigung genannten Verfahren nachgewiesen wurde.</w:t>
      </w:r>
    </w:p>
    <w:p>
      <w:r>
        <w:t xml:space="preserve">(2) Hersteller von Funkanlagen, die dem Genehmigungsverfahren nach Absatz 1 unterliegen, sind für die Durchführung aller von der Bundesnetzagentur vorgegebenen Konformitätsbewertungsverfahren verantwortlich und erklären im Rahmen ihres Antrags nach Absatz 1 auf eigene Verantwortung, dass die betreffenden Funkanlagen alle in § 4 festgelegten und einschlägigen grundlegenden Anforderungen erfüllen.</w:t>
      </w:r>
    </w:p>
    <w:p>
      <w:r>
        <w:t xml:space="preserve">(3) Genehmigungen nach Absatz 1 müssen die Bedingungen und Anforderungen festlegen, unter denen die Funkanlage in Verkehr gebracht werden darf. Diese Genehmigungen enthalten mindestens</w:t>
      </w:r>
    </w:p>
    <w:p>
      <w:pPr>
        <w:ind w:left="420"/>
      </w:pPr>
      <w:r>
        <w:t xml:space="preserve">1. eine Beschreibung der Verfahren, mit denen die Einhaltung der einschlägigen grundlegenden Anforderungen nach § 4 erfolgreich nachgewiesen wurde,</w:t>
      </w:r>
    </w:p>
    <w:p>
      <w:pPr>
        <w:ind w:left="420"/>
      </w:pPr>
      <w:r>
        <w:t xml:space="preserve">2. etwaige besondere Anforderungen in Bezug auf die Rückverfolgbarkeit der betreffenden Funkanlage,</w:t>
      </w:r>
    </w:p>
    <w:p>
      <w:pPr>
        <w:ind w:left="420"/>
      </w:pPr>
      <w:r>
        <w:t xml:space="preserve">3. ein Enddatum für die Gültigkeit der Genehmigung, das nicht über den letzten Tag des Zeitraums hinausgehen darf, für den der Notfallmodus für den Binnenmarkt nach Artikel 18 der Verordnung (EU) 2024/2747 aktiviert wurde,</w:t>
      </w:r>
    </w:p>
    <w:p>
      <w:pPr>
        <w:ind w:left="420"/>
      </w:pPr>
      <w:r>
        <w:t xml:space="preserve">4. etwaige besondere Anforderungen in Bezug auf die Notwendigkeit, die fortlaufende Konformitätsbewertung sicherzustellen,</w:t>
      </w:r>
    </w:p>
    <w:p>
      <w:pPr>
        <w:ind w:left="420"/>
      </w:pPr>
      <w:r>
        <w:t xml:space="preserve">5. Maßnahmen, die bei Auslaufen oder Deaktivierung des Notfallmodus für den Binnenmarkt in Bezug auf die betreffende Funkanlage zu ergreifen sind.</w:t>
      </w:r>
    </w:p>
    <w:p>
      <w:r>
        <w:t xml:space="preserve">(4) Funkanlagen, die auf Grundlage einer Genehmigung nach Absatz 1 in Verkehr gebracht werden, dürfen abweichend von § 19 nicht mit einer CE-Kennzeichnung versehen werden. Das Verbot nach Satz 1 gilt vorbehaltlich der Durchführung eines Konformitätsbewertungsverfahrens nach § 18 und gilt abweichend von § 22a Absatz 2 nach dem Auslaufen oder der Deaktivierung des Notfallmodus für den Binnenmarkt fort.</w:t>
      </w:r>
    </w:p>
    <w:p>
      <w:r>
        <w:t xml:space="preserve">(5) Bevor Funkanlagen, für die die Kommission die Gültigkeit einer von einem Mitgliedstaat der Europäischen Union erteilten Genehmigung im Wege eines Durchführungsrechtsakts nach Artikel 43c Absatz 2 Unterabsatz 1 der Richtlinie 2014/53/EU auf das Gebiet der gesamten Europäischen Union erstreckt hat, in Verkehr gebracht werden, muss auf ihnen der Hinweis angebracht werden, dass sie als „krisenrelevante Waren“ in Verkehr gebracht werden. Dieser Hinweis muss in deutscher Sprache abgefasst und klar, verständlich sowie gut lesbar sein.</w:t>
      </w:r>
    </w:p>
    <w:p>
      <w:r>
        <w:t xml:space="preserve">(6) Die Bundesnetzagentur soll die Kommission und die anderen Mitgliedstaaten der Europäischen Union unverzüglich über jede nach Absatz 1 erteilte Genehmigung unterrichten. Auf Aufforderung der Kommission hat die Bundesnetzagentur der Kommission sachdienliche Informationen zu der technischen Bewertung, die dieser Genehmigung zugrunde lag, bereitzustellen oder dazu Stellung zu nehmen.</w:t>
      </w:r>
    </w:p>
    <w:p>
      <w:r>
        <w:t xml:space="preserve">(7) Vorbehaltlich einer Erstreckung der Gültigkeit einer Genehmigung nach Absatz 1 durch die Kommission auf das Gebiet der gesamten Europäischen Union auf der Grundlage eines Durchführungsrechtsakts nach Artikel 43c Absatz 2 oder 3 der Richtlinie 2014/53/EU gilt die Genehmigung nach Absatz 1 nur im deutschen Hoheitsgebiet. Die Bundesnetzagentur kann, solange ein solcher Durchführungsrechtsakt nicht durch die Kommission erlassen wurde, auch die Geltung entsprechender nationaler Genehmigungen anderer Mitgliedstaaten auf deutschem Hoheitsgebiet anerkennen. Die Bundesnetzagentur hat die Kommission und die anderen Mitgliedstaaten unverzüglich über jede Entscheidung zu unterrichten, die Gültigkeit einer solchen Genehmigung anzuerkennen.</w:t>
      </w:r>
    </w:p>
    <w:p>
      <w:r>
        <w:t xml:space="preserve">(8) Die Bundesnetzagentur ist in Bezug auf nach Absatz 1 genehmigte Funkanlagen befugt, alle in der Verordnung (EU) 2019/1020 und in Abschnitt 5 dieses Gesetzes vorgesehenen Abhilfemaßnahmen und beschränkenden Maßnahmen zu ergreifen. Sie hat die Kommission und die Marktüberwachungsbehörden der anderen Mitgliedstaaten unverzüglich über alle Maßnahmen nach Satz 1 zu unterrichten.</w:t>
      </w:r>
    </w:p>
    <w:p>
      <w:r>
        <w:t xml:space="preserve">(9) Die Regelungen zu den Konformitätsbewertungsverfahren nach § 18 bleiben unberührt.</w:t>
      </w:r>
    </w:p>
    <w:p>
      <w:r>
        <w:rPr>
          <w:color w:val="555555"/>
          <w:sz w:val="17"/>
        </w:rPr>
        <w:t xml:space="preserve">Zitiervorschlag: § 22c FuAG</w:t>
      </w:r>
    </w:p>
    <w:p>
      <w:r>
        <w:rPr>
          <w:color w:val="555555"/>
          <w:sz w:val="17"/>
        </w:rPr>
        <w:t xml:space="preserve">Quelle: Bundesamt für Justiz, abgerufen 24.07.2026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https://recht.nulegal.eu/gesetze/FuAG/22c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