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22b FuAG — Vorrangigkeit der Konformitätsbewertung von als krisenrelevante Waren eingestuften Funkanlagen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Die notifizierten Stellen sollen Anträge auf Konformitätsbewertung von Funkanlagen, die im Durchführungsrechtsakt nach § 22a Absatz 1 Nummer 1 aufgeführt sind und den Konformitätsbewertungsverfahren nach § 18 unterliegen, unabhängig davon vorrangig bearbeiten, ob der Antrag vor oder nach der Aktivierung der Notfallverfahren nach § 22a gestellt wurde.</w:t>
      </w:r>
    </w:p>
    <w:p>
      <w:r>
        <w:t xml:space="preserve">(2) Die vorrangige Bearbeitung dieser Anträge darf für die antragstellenden Hersteller zu keinen unverhältnismäßigen Mehrkosten führen.</w:t>
      </w:r>
    </w:p>
    <w:p>
      <w:r>
        <w:t xml:space="preserve">(3) Die notifizierten Stellen sollen ihre Prüfkapazitäten für Funkanlagen, die nach der Verordnung (EU) 2024/2747 als krisenrelevante Waren eingestuft wurden, erhöhen.</w:t>
      </w:r>
    </w:p>
    <w:p>
      <w:r>
        <w:rPr>
          <w:color w:val="555555"/>
          <w:sz w:val="17"/>
        </w:rPr>
        <w:t xml:space="preserve">Zitiervorschlag: § 22b FuAG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https://recht.nulegal.eu/gesetze/FuAG/22b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