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FuAG — Technische Unterlagen</w:t>
      </w:r>
    </w:p>
    <w:p>
      <w:r>
        <w:rPr>
          <w:color w:val="555555"/>
          <w:sz w:val="18"/>
        </w:rPr>
        <w:t xml:space="preserve">Funkanlagengesetz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technischen Unterlagen enthalten alle einschlägigen Daten und Angaben darüber, wie der Hersteller sicherstellt, dass die Funkanlage den grundlegenden Anforderungen des § 4 genügt. Sie enthalten zumindest die in Anhang V der Richtlinie 2014/53/EU aufgeführten Elemente.</w:t>
      </w:r>
    </w:p>
    <w:p>
      <w:r>
        <w:t xml:space="preserve">(2) Die technischen Unterlagen sind vor dem Inverkehrbringen der Funkanlage zu erstellen und stets auf dem aktuellen Stand zu halten.</w:t>
      </w:r>
    </w:p>
    <w:p>
      <w:r>
        <w:t xml:space="preserve">(3) Die technischen Unterlagen und die Korrespondenz im Zusammenhang mit EU-Baumusterprüfverfahren müssen in deutscher Sprache oder in einer Sprache, die von der jeweiligen notifizierten Stelle zugelassen ist, abgefasst sein.</w:t>
      </w:r>
    </w:p>
    <w:p>
      <w:r>
        <w:rPr>
          <w:color w:val="555555"/>
          <w:sz w:val="17"/>
        </w:rPr>
        <w:t xml:space="preserve">Zitiervorschlag: § 21 FuAG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https://recht.nulegal.eu/gesetze/FuAG/21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