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FuAG — Konformitätsvermutung bei Funkanlagen</w:t>
      </w:r>
    </w:p>
    <w:p>
      <w:r>
        <w:rPr>
          <w:color w:val="555555"/>
          <w:sz w:val="18"/>
        </w:rPr>
        <w:t xml:space="preserve">Funkanlagengesetz</w:t>
      </w:r>
    </w:p>
    <w:p>
      <w:r>
        <w:rPr>
          <w:color w:val="555555"/>
          <w:sz w:val="18"/>
        </w:rPr>
        <w:t xml:space="preserve">Stand: 10.06.2019 (konsolidierte Textfassung, kein amtliches Inkrafttretensdatum)</w:t>
      </w:r>
    </w:p>
    <w:p>
      <w:r>
        <w:t xml:space="preserve">Stimmt eine Funkanlage mit den einschlägigen harmonisierten Normen oder Teilen davon, deren Fundstellen im Amtsblatt der Europäischen Union veröffentlicht worden sind, überein, so wird widerleglich vermutet, dass die Funkanlage den von diesen Normen oder Teilen dieser Normen abgedeckten Anforderungen des § 4 genügt.</w:t>
      </w:r>
    </w:p>
    <w:p>
      <w:r>
        <w:rPr>
          <w:color w:val="555555"/>
          <w:sz w:val="17"/>
        </w:rPr>
        <w:t xml:space="preserve">Zitiervorschlag: § 17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