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FuAG — Identifizierung der Wirtschaftsakteure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Wirtschaftsakteure sind verpflichtet, der Bundesnetzagentur auf Verlangen die Wirtschaftsakteure zu nennen,</w:t>
      </w:r>
    </w:p>
    <w:p>
      <w:pPr>
        <w:ind w:left="420"/>
      </w:pPr>
      <w:r>
        <w:t xml:space="preserve">1. von denen sie eine Funkanlage bezogen haben und</w:t>
      </w:r>
    </w:p>
    <w:p>
      <w:pPr>
        <w:ind w:left="420"/>
      </w:pPr>
      <w:r>
        <w:t xml:space="preserve">2. an die sie eine Funkanlage abgegeben haben.</w:t>
      </w:r>
    </w:p>
    <w:p>
      <w:r>
        <w:t xml:space="preserve">(2) Die Verpflichtung zur Benennung der Wirtschaftsakteure gilt für die Dauer von zehn Jahren nach Abgabe oder Bezug der Funkanlage.</w:t>
      </w:r>
    </w:p>
    <w:p>
      <w:r>
        <w:rPr>
          <w:color w:val="555555"/>
          <w:sz w:val="17"/>
        </w:rPr>
        <w:t xml:space="preserve">Zitiervorschlag: § 16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