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FuAG — Bevollmächtigter des Herstellers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Hersteller kann schriftlich einen Bevollmächtigten benennen.</w:t>
      </w:r>
    </w:p>
    <w:p>
      <w:r>
        <w:t xml:space="preserve">(2) Der Bevollmächtigte nimmt die ihm vom Hersteller übertragenen Pflichten für diesen wahr.</w:t>
      </w:r>
    </w:p>
    <w:p>
      <w:r>
        <w:t xml:space="preserve">(3) Der Hersteller, der einen Bevollmächtigten beauftragt, muss diesem mindestens folgende Pflichten übertragen:</w:t>
      </w:r>
    </w:p>
    <w:p>
      <w:pPr>
        <w:ind w:left="420"/>
      </w:pPr>
      <w:r>
        <w:t xml:space="preserve">1. die Pflicht, die EU-Konformitätserklärung und die technischen Unterlagen zehn Jahre nach dem Inverkehrbringen der letzten Funkanlage bereitzuhalten,</w:t>
      </w:r>
    </w:p>
    <w:p>
      <w:pPr>
        <w:ind w:left="420"/>
      </w:pPr>
      <w:r>
        <w:t xml:space="preserve">2. die Pflicht, der Bundesnetzagentur auf deren begründetes Verlangen alle zum Nachweis der Konformität erforderlichen Informationen und Unterlagen zur Verfügung zu stellen, und</w:t>
      </w:r>
    </w:p>
    <w:p>
      <w:pPr>
        <w:ind w:left="420"/>
      </w:pPr>
      <w:r>
        <w:t xml:space="preserve">3. die Pflicht zur Zusammenarbeit mit der Bundesnetzagentur zur Abwehr von Gefahren, die von Funkanlagen ausgehen, die in seinen Aufgabenbereich fallen.</w:t>
      </w:r>
    </w:p>
    <w:p>
      <w:r>
        <w:t xml:space="preserve">(4) Die Pflichten nach § 9 Absatz 1 und die Pflicht zur Erstellung der technischen Unterlagen nach Anhang II Nummer 2 oder Anhang III Modul B Nummer 3 Buchstabe c oder Anhang IV Nummer 3.1 Buchstabe b der Richtlinie 2014/53/EU kann der Hersteller nicht dem Bevollmächtigten übertragen.</w:t>
      </w:r>
    </w:p>
    <w:p>
      <w:r>
        <w:rPr>
          <w:color w:val="555555"/>
          <w:sz w:val="17"/>
        </w:rPr>
        <w:t xml:space="preserve">Zitiervorschlag: § 11 FuAG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