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FuAG — Anwendungsbereich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für alle Funkanlagen, die auf dem Markt bereitgestellt oder in Betrieb genommen werden.</w:t>
      </w:r>
    </w:p>
    <w:p>
      <w:r>
        <w:t xml:space="preserve">(2) Die Verordnung über elektrische Betriebsmittel vom 17. März 2016 (BGBl. I S. 502) findet auf Funkanlagen Anwendung, soweit der Schutz der Gesundheit und Sicherheit von Menschen und Haus- und Nutztieren sowie der Schutz von Gütern einschließlich der in der Richtlinie 2014/35/EU enthaltenen Ziele in Bezug auf die Sicherheitsanforderungen, jedoch ohne Anwendung der Spannungsgrenze, betroffen ist.</w:t>
      </w:r>
    </w:p>
    <w:p>
      <w:r>
        <w:rPr>
          <w:color w:val="555555"/>
          <w:sz w:val="17"/>
        </w:rPr>
        <w:t xml:space="preserve">Zitiervorschlag: § 1 FuAG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