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FronleichnamsVO (Sachsen)</w:t>
      </w:r>
    </w:p>
    <w:p>
      <w:r>
        <w:rPr>
          <w:color w:val="555555"/>
          <w:sz w:val="18"/>
        </w:rPr>
        <w:t xml:space="preserve">FronleichnamsVO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 Abs. 1 des Gesetzes über Sonn- und Feiertage im Freistaat Sachsen ( SächsSFG ) vom 10. November 1992 (SächsGVBl. S. 536) wird verordnet:</w:t>
      </w:r>
    </w:p>
    <w:p>
      <w:r>
        <w:rPr>
          <w:color w:val="555555"/>
          <w:sz w:val="17"/>
        </w:rPr>
        <w:t xml:space="preserve">Zitiervorschlag: Eingangsformel FronleichnamsVO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https://recht.nulegal.eu/gesetze/FronleichnamsVO/eingangsformel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