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FriseurAusbV 2008 — Struktur der Berufsausbildung</w:t>
      </w:r>
    </w:p>
    <w:p>
      <w:r>
        <w:rPr>
          <w:color w:val="555555"/>
          <w:sz w:val="18"/>
        </w:rPr>
        <w:t xml:space="preserve">Verordnung über die Berufsausbildung zum Friseur/zur Friseurin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Berufsausbildung gliedert sich in</w:t>
      </w:r>
    </w:p>
    <w:p>
      <w:pPr>
        <w:ind w:left="420"/>
      </w:pPr>
      <w:r>
        <w:t xml:space="preserve">1. Pflichtqualifikationseinheiten gemäß § 4 Abs. 2 Abschnitt A und C,</w:t>
      </w:r>
    </w:p>
    <w:p>
      <w:pPr>
        <w:ind w:left="420"/>
      </w:pPr>
      <w:r>
        <w:t xml:space="preserve">2. eine im Ausbildungsvertrag festzulegende Wahlqualifikationseinheit der Auswahlliste gemäß § 4 Abs. 2 Abschnitt B.</w:t>
      </w:r>
    </w:p>
    <w:p>
      <w:r>
        <w:rPr>
          <w:color w:val="555555"/>
          <w:sz w:val="17"/>
        </w:rPr>
        <w:t xml:space="preserve">Zitiervorschlag: § 3 FriseurAusbV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https://recht.nulegal.eu/gesetze/FriseurAusbV%202008/3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