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FrischZV</w:t>
      </w:r>
    </w:p>
    <w:p>
      <w:r>
        <w:rPr>
          <w:color w:val="555555"/>
          <w:sz w:val="18"/>
        </w:rPr>
        <w:t xml:space="preserve">Frischzellen-Verordnung</w:t>
      </w:r>
    </w:p>
    <w:p>
      <w:r>
        <w:rPr>
          <w:color w:val="555555"/>
          <w:sz w:val="18"/>
        </w:rPr>
        <w:t xml:space="preserve">Historische Fassung: Stand 10.06.2019 bis 15.05.2021. Dies ist nicht die aktuelle Fassung.</w:t>
      </w:r>
    </w:p>
    <w:p>
      <w:r>
        <w:t xml:space="preserve">Auf Grund des § 6 des Arzneimittelgesetzes in der Fassung der Bekanntmachung vom 19. Oktober 1994 (BGBl. I S. 3018) verordnet das Bundesministerium für Gesundheit:</w:t>
      </w:r>
    </w:p>
    <w:p>
      <w:r>
        <w:rPr>
          <w:color w:val="555555"/>
          <w:sz w:val="17"/>
        </w:rPr>
        <w:t xml:space="preserve">Zitiervorschlag: Eingangsformel FrischZV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https://recht.nulegal.eu/gesetze/FrischZV/eingangsformel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