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FrischZV — Inkrafttreten</w:t>
      </w:r>
    </w:p>
    <w:p>
      <w:r>
        <w:rPr>
          <w:color w:val="555555"/>
          <w:sz w:val="18"/>
        </w:rPr>
        <w:t xml:space="preserve">Frischzellen-Verordnung</w:t>
      </w:r>
    </w:p>
    <w:p>
      <w:r>
        <w:rPr>
          <w:color w:val="555555"/>
          <w:sz w:val="18"/>
        </w:rPr>
        <w:t xml:space="preserve">Historische Fassung: Stand 10.06.2019 bis 15.05.2021.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FrischZV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https://recht.nulegal.eu/gesetze/FrischZV/3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