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FrischZV — Straf- und Bußgeldvorschriften</w:t>
      </w:r>
    </w:p>
    <w:p>
      <w:r>
        <w:rPr>
          <w:color w:val="555555"/>
          <w:sz w:val="18"/>
        </w:rPr>
        <w:t xml:space="preserve">Frischzellen-Verordnung</w:t>
      </w:r>
    </w:p>
    <w:p>
      <w:r>
        <w:rPr>
          <w:color w:val="555555"/>
          <w:sz w:val="18"/>
        </w:rPr>
        <w:t xml:space="preserve">Historische Fassung: Stand 10.06.2019 bis 15.05.2021. Dies ist nicht die aktuelle Fassung.</w:t>
      </w:r>
    </w:p>
    <w:p>
      <w:r>
        <w:t xml:space="preserve">(1) Nach § 95 Abs. 1 Nr. 2, Abs. 2 bis 4 des Arzneimittelgesetzes wird bestraft, wer vorsätzlich oder fahrlässig entgegen § 1 Abs. 2 Arzneimittel in den Verkehr bringt.</w:t>
      </w:r>
    </w:p>
    <w:p>
      <w:r>
        <w:t xml:space="preserve">(2) Nach § 96 Nr. 1 des Arzneimittelgesetzes wird bestraft, wer entgegen § 1 Abs. 1 Frischzellen verwendet.</w:t>
      </w:r>
    </w:p>
    <w:p>
      <w:r>
        <w:t xml:space="preserve">(3) Wer eine in Absatz 2 bezeichnete Handlung fahrlässig begeht, handelt nach § 97 Abs. 1 des Arzneimittelgesetzes ordnungswidrig.</w:t>
      </w:r>
    </w:p>
    <w:p>
      <w:r>
        <w:rPr>
          <w:color w:val="555555"/>
          <w:sz w:val="17"/>
        </w:rPr>
        <w:t xml:space="preserve">Zitiervorschlag: § 2 FrischZV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https://recht.nulegal.eu/gesetze/FrischZV/2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