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FrischZV 2021</w:t>
      </w:r>
    </w:p>
    <w:p>
      <w:r>
        <w:rPr>
          <w:color w:val="555555"/>
          <w:sz w:val="18"/>
        </w:rPr>
        <w:t xml:space="preserve">Frischzellenverordnung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Auf Grund des § 6 Absatz 2 des Arzneimittelgesetzes, der durch Artikel 1 Nummer 2 des Gesetzes vom 9. August 2019 (BGBl. I S. 1202) neu gefasst worden ist, verordnet das Bundesministerium für Gesundheit:</w:t>
      </w:r>
    </w:p>
    <w:p>
      <w:r>
        <w:rPr>
          <w:color w:val="555555"/>
          <w:sz w:val="17"/>
        </w:rPr>
        <w:t xml:space="preserve">Zitiervorschlag: Eingangsformel FrischZV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https://recht.nulegal.eu/gesetze/FrischZV%202021/eingangsformel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