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FrischZV 2021 — Hinweis auf Strafvorschriften des Arzneimittelgesetzes</w:t>
      </w:r>
    </w:p>
    <w:p>
      <w:r>
        <w:rPr>
          <w:color w:val="555555"/>
          <w:sz w:val="18"/>
        </w:rPr>
        <w:t xml:space="preserve">Frischzellenverordnung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Zuwiderhandlungen gegen § 6 Absatz 1 des Arzneimittelgesetzes in Verbindung mit § 2 dieser Verordnung werden nach § 95 Absatz 1 Nummer 2, Absatz 2 bis 4 des Arzneimittelgesetzes geahndet.</w:t>
      </w:r>
    </w:p>
    <w:p>
      <w:r>
        <w:rPr>
          <w:color w:val="555555"/>
          <w:sz w:val="17"/>
        </w:rPr>
        <w:t xml:space="preserve">Zitiervorschlag: § 4 FrischZV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https://recht.nulegal.eu/gesetze/FrischZV%202021/4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