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FrischZV 2021 — Verbot der Verwendung von Frischzellen</w:t>
      </w:r>
    </w:p>
    <w:p>
      <w:r>
        <w:rPr>
          <w:color w:val="555555"/>
          <w:sz w:val="18"/>
        </w:rPr>
        <w:t xml:space="preserve">Frischzellenverordnung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Es ist verboten, bei der Herstellung von Arzneimitteln, die zur parenteralen Anwendung beim Menschen bestimmt sind, Frischzellen als Wirkstoff nach § 4 Absatz 19 des Arzneimittelgesetzes oder als Hilfsstoff zu verwenden.</w:t>
      </w:r>
    </w:p>
    <w:p>
      <w:r>
        <w:rPr>
          <w:color w:val="555555"/>
          <w:sz w:val="17"/>
        </w:rPr>
        <w:t xml:space="preserve">Zitiervorschlag: § 2 FrischZV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