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FreqV</w:t>
      </w:r>
    </w:p>
    <w:p>
      <w:r>
        <w:rPr>
          <w:color w:val="555555"/>
          <w:sz w:val="18"/>
        </w:rPr>
        <w:t xml:space="preserve">Frequenzverordnung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des Telekommunikationsgesetzes vom 22. Juni 2004 (BGBl. I S. 1190), der zuletzt durch Artikel 1 des Gesetzes vom 3. Mai 2012 (BGBl. I S. 958) geändert worden ist, verordnet die Bundesregierung nach Anhörung der von Frequenzzuweisungen betroffenen Kreise:</w:t>
      </w:r>
    </w:p>
    <w:p>
      <w:r>
        <w:rPr>
          <w:color w:val="555555"/>
          <w:sz w:val="17"/>
        </w:rPr>
        <w:t xml:space="preserve">Zitiervorschlag: Eingangsformel FreqV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https://recht.nulegal.eu/gesetze/FreqV/eingangsformel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