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FreqV — Inkrafttreten, Außerkrafttreten</w:t>
      </w:r>
    </w:p>
    <w:p>
      <w:r>
        <w:rPr>
          <w:color w:val="555555"/>
          <w:sz w:val="18"/>
        </w:rPr>
        <w:t xml:space="preserve">Frequenzverordnung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 Gleichzeitig tritt die Frequenzbereichszuweisungsplanverordnung vom 28. September 2004 (BGBl. I S. 2499), die zuletzt durch Artikel 1 der Verordnung vom 22. April 2010 (BGBl. I S. 446) geändert worden ist, außer Kraft.</w:t>
      </w:r>
    </w:p>
    <w:p>
      <w:r>
        <w:rPr>
          <w:color w:val="555555"/>
          <w:sz w:val="17"/>
        </w:rPr>
        <w:t xml:space="preserve">Zitiervorschlag: § 5 FreqV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https://recht.nulegal.eu/gesetze/FreqV/5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