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FremdSprPrV — Inkrafttreten</w:t>
      </w:r>
    </w:p>
    <w:p>
      <w:r>
        <w:rPr>
          <w:color w:val="555555"/>
          <w:sz w:val="18"/>
        </w:rPr>
        <w:t xml:space="preserve">Verordnung über die Prüfung zum anerkannten Abschluss Geprüfter Fremdsprachenkorrespondent/Geprüfte Fremdsprachenkorrespondentin</w:t>
      </w:r>
    </w:p>
    <w:p>
      <w:r>
        <w:rPr>
          <w:color w:val="555555"/>
          <w:sz w:val="18"/>
        </w:rPr>
        <w:t xml:space="preserve">Historische Fassung: Stand 10.06.2019 bis 27.03.2024. Dies ist nicht die aktuelle Fassung.</w:t>
      </w:r>
    </w:p>
    <w:p>
      <w:r>
        <w:t xml:space="preserve">Diese Verordnung tritt am 1. Mai 2000 in Kraft.</w:t>
      </w:r>
    </w:p>
    <w:p>
      <w:r>
        <w:rPr>
          <w:color w:val="555555"/>
          <w:sz w:val="17"/>
        </w:rPr>
        <w:t xml:space="preserve">Zitiervorschlag: § 11 FremdSprPrV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