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FremdSprPrV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(1) Mit dem Inkrafttreten dieser Verordnung treten die Rechtsvorschriften der zuständigen Stellen über die Prüfung zum Fremdsprachenkorrespondenten, zum Fremdsprachlichen Korrespondenten, zum Fremdsprachlichen Wirtschaftskorrespondent und zum Fremdsprachenkundigen Korrespondenten außer Kraft.</w:t>
      </w:r>
    </w:p>
    <w:p>
      <w:r>
        <w:t xml:space="preserve">(2) Begonnene Prüfungsverfahren können nach den bisher geltenden Regelungen zu Ende geführt werden.</w:t>
      </w:r>
    </w:p>
    <w:p>
      <w:r>
        <w:rPr>
          <w:color w:val="555555"/>
          <w:sz w:val="17"/>
        </w:rPr>
        <w:t xml:space="preserve">Zitiervorschlag: § 10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