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FremdSprKFPrV — (zu den §§ 13 und 14) Bewertungsmaßstab und -schlüssel</w:t>
      </w:r>
    </w:p>
    <w:p>
      <w:r>
        <w:rPr>
          <w:color w:val="555555"/>
          <w:sz w:val="18"/>
        </w:rPr>
        <w:t xml:space="preserve">Fremdsprachenkommunikation-Fortbildungsprüfungsverordnung</w:t>
      </w:r>
    </w:p>
    <w:p>
      <w:r>
        <w:rPr>
          <w:color w:val="555555"/>
          <w:sz w:val="18"/>
        </w:rPr>
        <w:t xml:space="preserve">Stand: 27.03.2024 (konsolidierte Textfassung, kein amtliches Inkrafttretensdatum)</w:t>
      </w:r>
    </w:p>
    <w:p>
      <w:r>
        <w:t xml:space="preserve">(Fundstelle: BGBl. 2023 I Nr. 255, S. 8 - 9)</w:t>
      </w:r>
    </w:p>
    <w:p>
      <w:r>
        <w:rPr>
          <w:rFonts w:ascii="Courier New" w:hAnsi="Courier New"/>
          <w:sz w:val="17"/>
        </w:rPr>
        <w:t xml:space="preserve">Punkte    Note 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FremdSprKFPrV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https://recht.nulegal.eu/gesetze/FremdSprKFPrV/anlage-1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