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FremdSprKFPrV — Inhalt und Gliederung der Prüfung</w:t>
      </w:r>
    </w:p>
    <w:p>
      <w:r>
        <w:rPr>
          <w:color w:val="555555"/>
          <w:sz w:val="18"/>
        </w:rPr>
        <w:t xml:space="preserve">Fremdsprachenkommunikation-Fortbildungsprüfungsverordnung</w:t>
      </w:r>
    </w:p>
    <w:p>
      <w:r>
        <w:rPr>
          <w:color w:val="555555"/>
          <w:sz w:val="18"/>
        </w:rPr>
        <w:t xml:space="preserve">Stand: 27.03.2024 (konsolidierte Textfassung, kein amtliches Inkrafttretensdatum)</w:t>
      </w:r>
    </w:p>
    <w:p>
      <w:r>
        <w:t xml:space="preserve">Die Prüfung umfasst folgende Prüfungsbereiche:</w:t>
      </w:r>
    </w:p>
    <w:p>
      <w:pPr>
        <w:ind w:left="420"/>
      </w:pPr>
      <w:r>
        <w:t xml:space="preserve">1. „Mündliches Kommunizieren in der Fremdsprache“ nach § 4,</w:t>
      </w:r>
    </w:p>
    <w:p>
      <w:pPr>
        <w:ind w:left="420"/>
      </w:pPr>
      <w:r>
        <w:t xml:space="preserve">2. „Schriftliches Kommunizieren in der Fremdsprache“ nach § 5,</w:t>
      </w:r>
    </w:p>
    <w:p>
      <w:pPr>
        <w:ind w:left="420"/>
      </w:pPr>
      <w:r>
        <w:t xml:space="preserve">3. „Organisieren und Koordinieren in der Fremdsprache“ nach § 6,</w:t>
      </w:r>
    </w:p>
    <w:p>
      <w:pPr>
        <w:ind w:left="420"/>
      </w:pPr>
      <w:r>
        <w:t xml:space="preserve">4. „Beraten und Unterstützen in interkulturellen Angelegenheiten, auch in der Fremdsprache“ nach § 7.</w:t>
      </w:r>
    </w:p>
    <w:p>
      <w:r>
        <w:rPr>
          <w:color w:val="555555"/>
          <w:sz w:val="17"/>
        </w:rPr>
        <w:t xml:space="preserve">Zitiervorschlag: § 3 FremdSprKFPrV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https://recht.nulegal.eu/gesetze/FremdSprKFPrV/3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