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FremdSprKFPrV — Zulassungsvoraussetzungen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(1) Zur Prüfung ist zuzulassen, wer die Anforderungen des § 53b des Berufsbildungsgesetzes erfüllt und Folgendes nachweist:</w:t>
      </w:r>
    </w:p>
    <w:p>
      <w:pPr>
        <w:ind w:left="420"/>
      </w:pPr>
      <w:r>
        <w:t xml:space="preserve">1. eine erfolgreich abgelegte Abschlussprüfung in einem anerkannten kaufmännischen, verwaltenden oder dienstleistenden Ausbildungsberuf mit einer Berufsausbildungsdauer von drei Jahren,</w:t>
      </w:r>
    </w:p>
    <w:p>
      <w:pPr>
        <w:ind w:left="420"/>
      </w:pPr>
      <w:r>
        <w:t xml:space="preserve">2. eine erfolgreich abgelegte Abschlussprüfung in einem anderen anerkannten Ausbildungsberuf und eine auf die Berufsausbildung folgende, mindestens einjährige Berufspraxis oder</w:t>
      </w:r>
    </w:p>
    <w:p>
      <w:pPr>
        <w:ind w:left="420"/>
      </w:pPr>
      <w:r>
        <w:t xml:space="preserve">3. eine mindestens vierjährige Berufspraxis.</w:t>
      </w:r>
    </w:p>
    <w:p>
      <w:r>
        <w:t xml:space="preserve">(2) Die Berufspraxis nach Absatz 1 Nummer 2 und 3 muss wesentliche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t xml:space="preserve">(4) In der Anmeldung zur Prüfung hat die zu prüfende Person anzugeben, in welcher Fremdsprache die Prüfung durchzuführen ist.</w:t>
      </w:r>
    </w:p>
    <w:p>
      <w:r>
        <w:t xml:space="preserve">(5) Unbeschadet der Absätze 1 bis 3 soll die zu prüfende Person imstande sein, in der Fremdsprache nach Absatz 4</w:t>
      </w:r>
    </w:p>
    <w:p>
      <w:pPr>
        <w:ind w:left="420"/>
      </w:pPr>
      <w:r>
        <w:t xml:space="preserve">1. sich flüssig und spontan verständlich zu machen und die Fremdsprache im beruflichen Leben wirksam und flexibel anzuwenden,</w:t>
      </w:r>
    </w:p>
    <w:p>
      <w:pPr>
        <w:ind w:left="420"/>
      </w:pPr>
      <w:r>
        <w:t xml:space="preserve">2. ein breites Spektrum anspruchsvoller, längerer geschäftsbezogener Texte zu verstehen und zu verfassen,</w:t>
      </w:r>
    </w:p>
    <w:p>
      <w:pPr>
        <w:ind w:left="420"/>
      </w:pPr>
      <w:r>
        <w:t xml:space="preserve">3. komplexe Informationen in ihrem beruflichen Umfeld zu verstehen, einzuholen, weiterzugeben, zusammenzufassen und aufzubereiten,</w:t>
      </w:r>
    </w:p>
    <w:p>
      <w:pPr>
        <w:ind w:left="420"/>
      </w:pPr>
      <w:r>
        <w:t xml:space="preserve">4. sich klar, strukturiert und ausführlich zu komplexen Sachverhalten zu äußern und Fachterminologie im Informationsaustausch und in Fachgesprächen mit Geschäftspartnerinnen und -partnern, Kolleginnen und Kollegen sowie Vorgesetzten angemessen einzusetzen.</w:t>
      </w:r>
    </w:p>
    <w:p>
      <w:r>
        <w:rPr>
          <w:color w:val="555555"/>
          <w:sz w:val="17"/>
        </w:rPr>
        <w:t xml:space="preserve">Zitiervorschlag: § 2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