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FremdSprKFPrV — Befreiung von einzelnen Prüfungsbestandteilen</w:t>
      </w:r>
    </w:p>
    <w:p>
      <w:r>
        <w:rPr>
          <w:color w:val="555555"/>
          <w:sz w:val="18"/>
        </w:rPr>
        <w:t xml:space="preserve">Fremdsprachenkommunikation-Fortbildungsprüfungsverordnung</w:t>
      </w:r>
    </w:p>
    <w:p>
      <w:r>
        <w:rPr>
          <w:color w:val="555555"/>
          <w:sz w:val="18"/>
        </w:rPr>
        <w:t xml:space="preserve">Stand: 27.03.2024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13 und 14 außer Betracht. Für die übrigen Prüfungsbestandteile erhöhen sich die Anteile nach § 14 Absatz 3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15 FremdSprKFPrV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https://recht.nulegal.eu/gesetze/FremdSprKFPrV/15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