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FremdSprKFPrV — Bewertung der Prüfungsleistungen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9 Absatz 2 jeweils einzeln zu bewerten. Aus den Bewertungen der beiden Prüfungsleistungen wird als Bewertung der schriftlichen Prüfung das arithmetische Mittel berechnet.</w:t>
      </w:r>
    </w:p>
    <w:p>
      <w:r>
        <w:t xml:space="preserve">(3) Die Präsentation nach § 10 Absatz 3 und das anschließende Fachgespräch nach § 10 Absatz 4 sind einzeln zu bewerten. Aus der Bewertung der Präsentation und der Bewertung des Fachgesprächs wird das arithmetische Mittel berechnet.</w:t>
      </w:r>
    </w:p>
    <w:p>
      <w:r>
        <w:rPr>
          <w:color w:val="555555"/>
          <w:sz w:val="17"/>
        </w:rPr>
        <w:t xml:space="preserve">Zitiervorschlag: § 13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