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FrauFöV (Brandenburg) — Inhalt der Bevorzugung</w:t>
      </w:r>
    </w:p>
    <w:p>
      <w:r>
        <w:rPr>
          <w:color w:val="555555"/>
          <w:sz w:val="18"/>
        </w:rPr>
        <w:t xml:space="preserve">Frauenförderverordnung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Ist bei Öffentlichen oder Beschränkten Ausschreibungen oder bei Freihändiger Vergabe das Angebot eines nach § 4 bevorzugten Bieters gleichwertig mit dem wirtschaftlichsten oder</w:t>
      </w:r>
    </w:p>
    <w:p>
      <w:r>
        <w:t xml:space="preserve">annehmbarsten Angebot eines anderen Bieters, soll dem bevorzugten Bieter der Zuschlag erteilt werden.</w:t>
      </w:r>
    </w:p>
    <w:p>
      <w:r>
        <w:rPr>
          <w:color w:val="555555"/>
          <w:sz w:val="17"/>
        </w:rPr>
        <w:t xml:space="preserve">Zitiervorschlag: § 6 FrauFöV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https://recht.nulegal.eu/gesetze/FrauF%C3%B6V/6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